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B108" w14:textId="5316B4F5" w:rsidR="004A5BED" w:rsidRPr="009039A3" w:rsidRDefault="00844A0C" w:rsidP="00844A0C">
      <w:pPr>
        <w:pStyle w:val="NoSpacing"/>
        <w:rPr>
          <w:rFonts w:cstheme="minorHAnsi"/>
          <w:b/>
          <w:sz w:val="24"/>
          <w:szCs w:val="24"/>
        </w:rPr>
      </w:pPr>
      <w:r w:rsidRPr="009039A3">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9039A3" w:rsidRDefault="00844A0C" w:rsidP="00874DE1">
      <w:pPr>
        <w:pStyle w:val="NoSpacing"/>
        <w:jc w:val="center"/>
        <w:rPr>
          <w:rFonts w:cstheme="minorHAnsi"/>
          <w:b/>
          <w:sz w:val="24"/>
          <w:szCs w:val="24"/>
        </w:rPr>
      </w:pPr>
    </w:p>
    <w:p w14:paraId="5C9B3578" w14:textId="1858070F" w:rsidR="008E0B48" w:rsidRDefault="00937761" w:rsidP="00874DE1">
      <w:pPr>
        <w:pStyle w:val="NoSpacing"/>
        <w:jc w:val="center"/>
        <w:rPr>
          <w:rFonts w:cstheme="minorHAnsi"/>
          <w:b/>
          <w:sz w:val="28"/>
          <w:szCs w:val="24"/>
        </w:rPr>
      </w:pPr>
      <w:r w:rsidRPr="009039A3">
        <w:rPr>
          <w:rFonts w:cstheme="minorHAnsi"/>
          <w:b/>
          <w:sz w:val="28"/>
          <w:szCs w:val="24"/>
        </w:rPr>
        <w:t>SPECIFIC PROCUREMENT NOTICE (SPN)</w:t>
      </w:r>
    </w:p>
    <w:p w14:paraId="78F9335C" w14:textId="7C508C82" w:rsidR="00C211F1" w:rsidRPr="00C211F1" w:rsidRDefault="00C211F1" w:rsidP="00C211F1">
      <w:pPr>
        <w:pStyle w:val="Text"/>
        <w:jc w:val="center"/>
        <w:rPr>
          <w:rFonts w:asciiTheme="minorHAnsi" w:hAnsiTheme="minorHAnsi" w:cstheme="minorHAnsi"/>
          <w:b/>
          <w:bCs/>
        </w:rPr>
      </w:pPr>
      <w:r w:rsidRPr="00C211F1">
        <w:rPr>
          <w:rFonts w:asciiTheme="minorHAnsi" w:hAnsiTheme="minorHAnsi" w:cstheme="minorHAnsi"/>
          <w:b/>
          <w:bCs/>
        </w:rPr>
        <w:t>Letter of Invitation Requesting Consultant Qualifications</w:t>
      </w:r>
    </w:p>
    <w:p w14:paraId="041397EE" w14:textId="77777777" w:rsidR="00C211F1" w:rsidRPr="009039A3" w:rsidRDefault="00C211F1" w:rsidP="00874DE1">
      <w:pPr>
        <w:pStyle w:val="NoSpacing"/>
        <w:jc w:val="center"/>
        <w:rPr>
          <w:rFonts w:cstheme="minorHAnsi"/>
          <w:b/>
          <w:sz w:val="28"/>
          <w:szCs w:val="24"/>
        </w:rPr>
      </w:pPr>
    </w:p>
    <w:p w14:paraId="7CDE3D74" w14:textId="77777777" w:rsidR="004A5BED" w:rsidRPr="009039A3" w:rsidRDefault="004A5BED" w:rsidP="00874DE1">
      <w:pPr>
        <w:pStyle w:val="NoSpacing"/>
        <w:jc w:val="cente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5779"/>
      </w:tblGrid>
      <w:tr w:rsidR="00821EEA" w:rsidRPr="00403D16" w14:paraId="410054DB" w14:textId="77777777" w:rsidTr="00FB282E">
        <w:tc>
          <w:tcPr>
            <w:tcW w:w="0" w:type="auto"/>
            <w:tcMar>
              <w:top w:w="86" w:type="dxa"/>
              <w:left w:w="115" w:type="dxa"/>
              <w:bottom w:w="86" w:type="dxa"/>
              <w:right w:w="115" w:type="dxa"/>
            </w:tcMar>
            <w:vAlign w:val="center"/>
          </w:tcPr>
          <w:p w14:paraId="0160CA1F" w14:textId="2B3AB7EA" w:rsidR="00821EEA" w:rsidRPr="00403D16" w:rsidRDefault="00821EEA" w:rsidP="00FB282E">
            <w:pPr>
              <w:spacing w:line="240" w:lineRule="exact"/>
              <w:rPr>
                <w:rFonts w:cstheme="minorHAnsi"/>
                <w:szCs w:val="24"/>
              </w:rPr>
            </w:pPr>
            <w:r w:rsidRPr="00403D16">
              <w:rPr>
                <w:rFonts w:cstheme="minorHAnsi"/>
                <w:szCs w:val="24"/>
              </w:rPr>
              <w:t>Country</w:t>
            </w:r>
          </w:p>
        </w:tc>
        <w:tc>
          <w:tcPr>
            <w:tcW w:w="0" w:type="auto"/>
            <w:tcMar>
              <w:top w:w="86" w:type="dxa"/>
              <w:left w:w="115" w:type="dxa"/>
              <w:bottom w:w="86" w:type="dxa"/>
              <w:right w:w="115" w:type="dxa"/>
            </w:tcMar>
            <w:vAlign w:val="center"/>
          </w:tcPr>
          <w:p w14:paraId="7936A90D" w14:textId="5EC5639B" w:rsidR="00821EEA" w:rsidRPr="00403D16" w:rsidRDefault="00844A0C" w:rsidP="00FB282E">
            <w:pPr>
              <w:spacing w:line="240" w:lineRule="exact"/>
              <w:rPr>
                <w:rFonts w:cstheme="minorHAnsi"/>
                <w:szCs w:val="24"/>
              </w:rPr>
            </w:pPr>
            <w:r w:rsidRPr="00403D16">
              <w:rPr>
                <w:rFonts w:cstheme="minorHAnsi"/>
                <w:szCs w:val="24"/>
              </w:rPr>
              <w:t>Kosovo</w:t>
            </w:r>
          </w:p>
        </w:tc>
      </w:tr>
      <w:tr w:rsidR="00571D1B" w:rsidRPr="00403D16" w14:paraId="5C89D342" w14:textId="77777777" w:rsidTr="00FB282E">
        <w:tc>
          <w:tcPr>
            <w:tcW w:w="0" w:type="auto"/>
            <w:tcMar>
              <w:top w:w="86" w:type="dxa"/>
              <w:left w:w="115" w:type="dxa"/>
              <w:bottom w:w="86" w:type="dxa"/>
              <w:right w:w="115" w:type="dxa"/>
            </w:tcMar>
            <w:vAlign w:val="center"/>
          </w:tcPr>
          <w:p w14:paraId="3811A511" w14:textId="2E7A772D" w:rsidR="00571D1B" w:rsidRPr="00403D16" w:rsidRDefault="00571D1B" w:rsidP="00FB282E">
            <w:pPr>
              <w:spacing w:line="240" w:lineRule="exact"/>
              <w:rPr>
                <w:rFonts w:cstheme="minorHAnsi"/>
                <w:szCs w:val="24"/>
              </w:rPr>
            </w:pPr>
            <w:r w:rsidRPr="00403D16">
              <w:rPr>
                <w:rFonts w:cstheme="minorHAnsi"/>
                <w:szCs w:val="24"/>
              </w:rPr>
              <w:t>City Locality</w:t>
            </w:r>
          </w:p>
        </w:tc>
        <w:tc>
          <w:tcPr>
            <w:tcW w:w="0" w:type="auto"/>
            <w:tcMar>
              <w:top w:w="86" w:type="dxa"/>
              <w:left w:w="115" w:type="dxa"/>
              <w:bottom w:w="86" w:type="dxa"/>
              <w:right w:w="115" w:type="dxa"/>
            </w:tcMar>
            <w:vAlign w:val="center"/>
          </w:tcPr>
          <w:p w14:paraId="17F63CDE" w14:textId="3246D7F9" w:rsidR="00571D1B" w:rsidRPr="00403D16" w:rsidRDefault="00844A0C" w:rsidP="00FB282E">
            <w:pPr>
              <w:spacing w:line="240" w:lineRule="exact"/>
              <w:rPr>
                <w:rFonts w:cstheme="minorHAnsi"/>
                <w:szCs w:val="24"/>
              </w:rPr>
            </w:pPr>
            <w:proofErr w:type="spellStart"/>
            <w:r w:rsidRPr="00403D16">
              <w:rPr>
                <w:rFonts w:cstheme="minorHAnsi"/>
                <w:szCs w:val="24"/>
              </w:rPr>
              <w:t>Prishtina</w:t>
            </w:r>
            <w:proofErr w:type="spellEnd"/>
          </w:p>
        </w:tc>
      </w:tr>
      <w:tr w:rsidR="008E0B48" w:rsidRPr="00403D16" w14:paraId="425C973A" w14:textId="77777777" w:rsidTr="00FB282E">
        <w:tc>
          <w:tcPr>
            <w:tcW w:w="0" w:type="auto"/>
            <w:tcMar>
              <w:top w:w="86" w:type="dxa"/>
              <w:left w:w="115" w:type="dxa"/>
              <w:bottom w:w="86" w:type="dxa"/>
              <w:right w:w="115" w:type="dxa"/>
            </w:tcMar>
            <w:vAlign w:val="center"/>
          </w:tcPr>
          <w:p w14:paraId="446DEB20" w14:textId="77777777" w:rsidR="008E0B48" w:rsidRPr="00403D16" w:rsidRDefault="008E0B48" w:rsidP="00FB282E">
            <w:pPr>
              <w:spacing w:line="240" w:lineRule="exact"/>
              <w:rPr>
                <w:rFonts w:cstheme="minorHAnsi"/>
                <w:szCs w:val="24"/>
              </w:rPr>
            </w:pPr>
            <w:r w:rsidRPr="00403D16">
              <w:rPr>
                <w:rFonts w:cstheme="minorHAnsi"/>
                <w:szCs w:val="24"/>
              </w:rPr>
              <w:t>Project Name</w:t>
            </w:r>
          </w:p>
        </w:tc>
        <w:tc>
          <w:tcPr>
            <w:tcW w:w="0" w:type="auto"/>
            <w:tcMar>
              <w:top w:w="86" w:type="dxa"/>
              <w:left w:w="115" w:type="dxa"/>
              <w:bottom w:w="86" w:type="dxa"/>
              <w:right w:w="115" w:type="dxa"/>
            </w:tcMar>
            <w:vAlign w:val="center"/>
          </w:tcPr>
          <w:p w14:paraId="47E1F40E" w14:textId="04EE4C7F" w:rsidR="008E0B48" w:rsidRPr="00403D16" w:rsidRDefault="00844A0C" w:rsidP="00FB282E">
            <w:pPr>
              <w:spacing w:line="240" w:lineRule="exact"/>
              <w:rPr>
                <w:rFonts w:cstheme="minorHAnsi"/>
                <w:szCs w:val="24"/>
              </w:rPr>
            </w:pPr>
            <w:r w:rsidRPr="00403D16">
              <w:rPr>
                <w:rFonts w:cstheme="minorHAnsi"/>
                <w:szCs w:val="24"/>
              </w:rPr>
              <w:t>Threshold Program</w:t>
            </w:r>
          </w:p>
        </w:tc>
      </w:tr>
      <w:tr w:rsidR="004A5BED" w:rsidRPr="00403D16" w14:paraId="17C8684B" w14:textId="77777777" w:rsidTr="00FB282E">
        <w:tc>
          <w:tcPr>
            <w:tcW w:w="0" w:type="auto"/>
            <w:tcMar>
              <w:top w:w="86" w:type="dxa"/>
              <w:left w:w="115" w:type="dxa"/>
              <w:bottom w:w="86" w:type="dxa"/>
              <w:right w:w="115" w:type="dxa"/>
            </w:tcMar>
            <w:vAlign w:val="center"/>
          </w:tcPr>
          <w:p w14:paraId="4992DCF1" w14:textId="4C253402" w:rsidR="004A5BED" w:rsidRPr="00403D16" w:rsidRDefault="004A5BED" w:rsidP="00FB282E">
            <w:pPr>
              <w:spacing w:line="240" w:lineRule="exact"/>
              <w:rPr>
                <w:rFonts w:cstheme="minorHAnsi"/>
                <w:szCs w:val="24"/>
              </w:rPr>
            </w:pPr>
            <w:r w:rsidRPr="00403D16">
              <w:rPr>
                <w:rFonts w:cstheme="minorHAnsi"/>
                <w:szCs w:val="24"/>
              </w:rPr>
              <w:t xml:space="preserve">Procurement </w:t>
            </w:r>
            <w:r w:rsidR="00C242D6" w:rsidRPr="00403D16">
              <w:rPr>
                <w:rFonts w:cstheme="minorHAnsi"/>
                <w:szCs w:val="24"/>
              </w:rPr>
              <w:t>Title</w:t>
            </w:r>
            <w:r w:rsidR="00E53DBC" w:rsidRPr="00403D16">
              <w:rPr>
                <w:rFonts w:cstheme="minorHAnsi"/>
                <w:szCs w:val="24"/>
              </w:rPr>
              <w:t xml:space="preserve"> </w:t>
            </w:r>
          </w:p>
        </w:tc>
        <w:tc>
          <w:tcPr>
            <w:tcW w:w="0" w:type="auto"/>
            <w:tcMar>
              <w:top w:w="86" w:type="dxa"/>
              <w:left w:w="115" w:type="dxa"/>
              <w:bottom w:w="86" w:type="dxa"/>
              <w:right w:w="115" w:type="dxa"/>
            </w:tcMar>
            <w:vAlign w:val="center"/>
          </w:tcPr>
          <w:p w14:paraId="42F4FE2F" w14:textId="3DEF8F8D" w:rsidR="00C211F1" w:rsidRPr="008841F2" w:rsidRDefault="00C211F1" w:rsidP="00C211F1">
            <w:pPr>
              <w:spacing w:line="240" w:lineRule="exact"/>
              <w:rPr>
                <w:rFonts w:cstheme="minorHAnsi"/>
                <w:szCs w:val="24"/>
              </w:rPr>
            </w:pPr>
            <w:r w:rsidRPr="008841F2">
              <w:rPr>
                <w:rFonts w:cstheme="minorHAnsi"/>
                <w:szCs w:val="24"/>
              </w:rPr>
              <w:t>The Implementation of the Women in Energy (WE) – Internship and Scholarship program</w:t>
            </w:r>
          </w:p>
          <w:p w14:paraId="2A62F7F4" w14:textId="77777777" w:rsidR="008841F2" w:rsidRPr="008841F2" w:rsidRDefault="008841F2" w:rsidP="00C211F1">
            <w:pPr>
              <w:spacing w:line="240" w:lineRule="exact"/>
              <w:rPr>
                <w:rFonts w:cstheme="minorHAnsi"/>
                <w:szCs w:val="24"/>
              </w:rPr>
            </w:pPr>
          </w:p>
          <w:p w14:paraId="2232F407" w14:textId="1AAB571D" w:rsidR="00844A0C" w:rsidRPr="00403D16" w:rsidRDefault="00C211F1" w:rsidP="00C211F1">
            <w:pPr>
              <w:spacing w:line="240" w:lineRule="exact"/>
              <w:rPr>
                <w:rFonts w:cstheme="minorHAnsi"/>
                <w:szCs w:val="24"/>
              </w:rPr>
            </w:pPr>
            <w:r w:rsidRPr="008841F2">
              <w:rPr>
                <w:rFonts w:cstheme="minorHAnsi"/>
                <w:szCs w:val="24"/>
              </w:rPr>
              <w:t>Procurement Reference:  Ref No: MFK /2019/ CQS / No. 012</w:t>
            </w:r>
          </w:p>
        </w:tc>
      </w:tr>
      <w:tr w:rsidR="004A5BED" w:rsidRPr="00403D16" w14:paraId="4357F368" w14:textId="77777777" w:rsidTr="00FB282E">
        <w:tc>
          <w:tcPr>
            <w:tcW w:w="0" w:type="auto"/>
            <w:tcMar>
              <w:top w:w="86" w:type="dxa"/>
              <w:left w:w="115" w:type="dxa"/>
              <w:bottom w:w="86" w:type="dxa"/>
              <w:right w:w="115" w:type="dxa"/>
            </w:tcMar>
            <w:vAlign w:val="center"/>
          </w:tcPr>
          <w:p w14:paraId="7E55BE1D" w14:textId="458D31D4" w:rsidR="004A5BED" w:rsidRPr="00403D16" w:rsidRDefault="004A5BED" w:rsidP="00FB282E">
            <w:pPr>
              <w:spacing w:line="240" w:lineRule="exact"/>
              <w:rPr>
                <w:rFonts w:cstheme="minorHAnsi"/>
                <w:szCs w:val="24"/>
              </w:rPr>
            </w:pPr>
            <w:r w:rsidRPr="00403D16">
              <w:rPr>
                <w:rFonts w:cstheme="minorHAnsi"/>
                <w:szCs w:val="24"/>
              </w:rPr>
              <w:t xml:space="preserve">Procurement Ref. Number </w:t>
            </w:r>
            <w:r w:rsidR="00C113BF" w:rsidRPr="00403D16">
              <w:rPr>
                <w:rFonts w:cstheme="minorHAnsi"/>
                <w:szCs w:val="24"/>
              </w:rPr>
              <w:t xml:space="preserve">as per Procurement Plan </w:t>
            </w:r>
          </w:p>
        </w:tc>
        <w:tc>
          <w:tcPr>
            <w:tcW w:w="0" w:type="auto"/>
            <w:tcMar>
              <w:top w:w="86" w:type="dxa"/>
              <w:left w:w="115" w:type="dxa"/>
              <w:bottom w:w="86" w:type="dxa"/>
              <w:right w:w="115" w:type="dxa"/>
            </w:tcMar>
            <w:vAlign w:val="center"/>
          </w:tcPr>
          <w:p w14:paraId="3A6B5991" w14:textId="1B82D0FD" w:rsidR="004A5BED" w:rsidRPr="00403D16" w:rsidRDefault="00C211F1" w:rsidP="00FB282E">
            <w:pPr>
              <w:spacing w:line="240" w:lineRule="exact"/>
              <w:rPr>
                <w:rFonts w:cstheme="minorHAnsi"/>
                <w:szCs w:val="24"/>
              </w:rPr>
            </w:pPr>
            <w:r>
              <w:rPr>
                <w:rFonts w:cstheme="minorHAnsi"/>
                <w:szCs w:val="24"/>
              </w:rPr>
              <w:t>2</w:t>
            </w:r>
            <w:r w:rsidR="00844A0C" w:rsidRPr="00403D16">
              <w:rPr>
                <w:rFonts w:cstheme="minorHAnsi"/>
                <w:szCs w:val="24"/>
              </w:rPr>
              <w:t>.</w:t>
            </w:r>
            <w:r>
              <w:rPr>
                <w:rFonts w:cstheme="minorHAnsi"/>
                <w:szCs w:val="24"/>
              </w:rPr>
              <w:t>23</w:t>
            </w:r>
          </w:p>
        </w:tc>
      </w:tr>
      <w:tr w:rsidR="00A05C4D" w:rsidRPr="00403D16" w14:paraId="65ED9CF5" w14:textId="77777777" w:rsidTr="00FB282E">
        <w:tc>
          <w:tcPr>
            <w:tcW w:w="0" w:type="auto"/>
            <w:tcMar>
              <w:top w:w="86" w:type="dxa"/>
              <w:left w:w="115" w:type="dxa"/>
              <w:bottom w:w="86" w:type="dxa"/>
              <w:right w:w="115" w:type="dxa"/>
            </w:tcMar>
            <w:vAlign w:val="center"/>
          </w:tcPr>
          <w:p w14:paraId="0BA1A543" w14:textId="764EDFE9" w:rsidR="00A05C4D" w:rsidRPr="00403D16" w:rsidRDefault="4686B66A" w:rsidP="00FB282E">
            <w:pPr>
              <w:spacing w:line="240" w:lineRule="exact"/>
              <w:rPr>
                <w:rFonts w:cstheme="minorHAnsi"/>
                <w:szCs w:val="24"/>
              </w:rPr>
            </w:pPr>
            <w:r w:rsidRPr="00403D16">
              <w:rPr>
                <w:rFonts w:cstheme="minorHAnsi"/>
                <w:szCs w:val="24"/>
              </w:rPr>
              <w:t xml:space="preserve">Type of Procurement </w:t>
            </w:r>
          </w:p>
        </w:tc>
        <w:tc>
          <w:tcPr>
            <w:tcW w:w="0" w:type="auto"/>
            <w:tcMar>
              <w:top w:w="86" w:type="dxa"/>
              <w:left w:w="115" w:type="dxa"/>
              <w:bottom w:w="86" w:type="dxa"/>
              <w:right w:w="115" w:type="dxa"/>
            </w:tcMar>
            <w:vAlign w:val="center"/>
          </w:tcPr>
          <w:p w14:paraId="534DACDE" w14:textId="3C4F9DE0" w:rsidR="00A05C4D" w:rsidRPr="00403D16" w:rsidRDefault="00C211F1" w:rsidP="00FB282E">
            <w:pPr>
              <w:spacing w:line="240" w:lineRule="exact"/>
              <w:rPr>
                <w:rFonts w:cstheme="minorHAnsi"/>
                <w:szCs w:val="24"/>
              </w:rPr>
            </w:pPr>
            <w:r>
              <w:rPr>
                <w:rFonts w:cstheme="minorHAnsi"/>
                <w:szCs w:val="24"/>
              </w:rPr>
              <w:t>Services</w:t>
            </w:r>
          </w:p>
        </w:tc>
      </w:tr>
      <w:tr w:rsidR="004A5BED" w:rsidRPr="00403D16" w14:paraId="307945F2" w14:textId="77777777" w:rsidTr="00FB282E">
        <w:tc>
          <w:tcPr>
            <w:tcW w:w="0" w:type="auto"/>
            <w:tcMar>
              <w:top w:w="86" w:type="dxa"/>
              <w:left w:w="115" w:type="dxa"/>
              <w:bottom w:w="86" w:type="dxa"/>
              <w:right w:w="115" w:type="dxa"/>
            </w:tcMar>
            <w:vAlign w:val="center"/>
          </w:tcPr>
          <w:p w14:paraId="2021AD8E" w14:textId="61C53610" w:rsidR="004A5BED" w:rsidRPr="00403D16" w:rsidRDefault="00571D1B" w:rsidP="00FB282E">
            <w:pPr>
              <w:spacing w:line="240" w:lineRule="exact"/>
              <w:rPr>
                <w:rFonts w:cstheme="minorHAnsi"/>
                <w:szCs w:val="24"/>
              </w:rPr>
            </w:pPr>
            <w:r w:rsidRPr="00403D16">
              <w:rPr>
                <w:rFonts w:cstheme="minorHAnsi"/>
                <w:szCs w:val="24"/>
              </w:rPr>
              <w:t xml:space="preserve">Buyer </w:t>
            </w:r>
          </w:p>
        </w:tc>
        <w:tc>
          <w:tcPr>
            <w:tcW w:w="0" w:type="auto"/>
            <w:tcMar>
              <w:top w:w="86" w:type="dxa"/>
              <w:left w:w="115" w:type="dxa"/>
              <w:bottom w:w="86" w:type="dxa"/>
              <w:right w:w="115" w:type="dxa"/>
            </w:tcMar>
            <w:vAlign w:val="center"/>
          </w:tcPr>
          <w:p w14:paraId="470BF315" w14:textId="27D7D12A" w:rsidR="00844A0C" w:rsidRPr="00403D16" w:rsidRDefault="004B16B0" w:rsidP="00FB282E">
            <w:pPr>
              <w:spacing w:line="240" w:lineRule="exact"/>
              <w:rPr>
                <w:rFonts w:cstheme="minorHAnsi"/>
                <w:szCs w:val="24"/>
              </w:rPr>
            </w:pPr>
            <w:r w:rsidRPr="00403D16">
              <w:rPr>
                <w:rFonts w:cstheme="minorHAnsi"/>
                <w:szCs w:val="24"/>
              </w:rPr>
              <w:t>Millennium Foundation Kosovo</w:t>
            </w:r>
          </w:p>
        </w:tc>
      </w:tr>
      <w:tr w:rsidR="00571D1B" w:rsidRPr="00403D16" w14:paraId="5F21967F" w14:textId="77777777" w:rsidTr="00FB282E">
        <w:tc>
          <w:tcPr>
            <w:tcW w:w="0" w:type="auto"/>
            <w:tcMar>
              <w:top w:w="86" w:type="dxa"/>
              <w:left w:w="115" w:type="dxa"/>
              <w:bottom w:w="86" w:type="dxa"/>
              <w:right w:w="115" w:type="dxa"/>
            </w:tcMar>
            <w:vAlign w:val="center"/>
          </w:tcPr>
          <w:p w14:paraId="435ED1BB" w14:textId="26976FB6" w:rsidR="00571D1B" w:rsidRPr="00403D16" w:rsidRDefault="00571D1B" w:rsidP="00FB282E">
            <w:pPr>
              <w:spacing w:line="240" w:lineRule="exact"/>
              <w:rPr>
                <w:rFonts w:cstheme="minorHAnsi"/>
                <w:szCs w:val="24"/>
              </w:rPr>
            </w:pPr>
            <w:r w:rsidRPr="00403D16">
              <w:rPr>
                <w:rFonts w:cstheme="minorHAnsi"/>
                <w:szCs w:val="24"/>
              </w:rPr>
              <w:t xml:space="preserve">Publication Date </w:t>
            </w:r>
          </w:p>
        </w:tc>
        <w:tc>
          <w:tcPr>
            <w:tcW w:w="0" w:type="auto"/>
            <w:tcMar>
              <w:top w:w="86" w:type="dxa"/>
              <w:left w:w="115" w:type="dxa"/>
              <w:bottom w:w="86" w:type="dxa"/>
              <w:right w:w="115" w:type="dxa"/>
            </w:tcMar>
            <w:vAlign w:val="center"/>
          </w:tcPr>
          <w:p w14:paraId="27A0CE93" w14:textId="51196C24" w:rsidR="00571D1B" w:rsidRPr="00403D16" w:rsidRDefault="0041169F" w:rsidP="00FB282E">
            <w:pPr>
              <w:spacing w:line="240" w:lineRule="exact"/>
              <w:rPr>
                <w:rFonts w:cstheme="minorHAnsi"/>
                <w:szCs w:val="24"/>
              </w:rPr>
            </w:pPr>
            <w:r w:rsidRPr="00403D16">
              <w:rPr>
                <w:rFonts w:cstheme="minorHAnsi"/>
                <w:szCs w:val="24"/>
              </w:rPr>
              <w:t>1</w:t>
            </w:r>
            <w:r w:rsidR="00C211F1">
              <w:rPr>
                <w:rFonts w:cstheme="minorHAnsi"/>
                <w:szCs w:val="24"/>
              </w:rPr>
              <w:t>7</w:t>
            </w:r>
            <w:r w:rsidR="00844A0C" w:rsidRPr="00403D16">
              <w:rPr>
                <w:rFonts w:cstheme="minorHAnsi"/>
                <w:szCs w:val="24"/>
              </w:rPr>
              <w:t xml:space="preserve"> </w:t>
            </w:r>
            <w:r w:rsidRPr="00403D16">
              <w:rPr>
                <w:rFonts w:cstheme="minorHAnsi"/>
                <w:szCs w:val="24"/>
              </w:rPr>
              <w:t xml:space="preserve">May </w:t>
            </w:r>
            <w:r w:rsidR="00844A0C" w:rsidRPr="00403D16">
              <w:rPr>
                <w:rFonts w:cstheme="minorHAnsi"/>
                <w:szCs w:val="24"/>
              </w:rPr>
              <w:t>2019</w:t>
            </w:r>
          </w:p>
        </w:tc>
      </w:tr>
      <w:tr w:rsidR="004A5BED" w:rsidRPr="00403D16" w14:paraId="691DAB03" w14:textId="77777777" w:rsidTr="00FB282E">
        <w:tc>
          <w:tcPr>
            <w:tcW w:w="0" w:type="auto"/>
            <w:tcMar>
              <w:top w:w="86" w:type="dxa"/>
              <w:left w:w="115" w:type="dxa"/>
              <w:bottom w:w="86" w:type="dxa"/>
              <w:right w:w="115" w:type="dxa"/>
            </w:tcMar>
            <w:vAlign w:val="center"/>
          </w:tcPr>
          <w:p w14:paraId="1AF30D50" w14:textId="46DDC9A2" w:rsidR="004A5BED" w:rsidRPr="00403D16" w:rsidRDefault="00C113BF" w:rsidP="00FB282E">
            <w:pPr>
              <w:spacing w:line="240" w:lineRule="exact"/>
              <w:rPr>
                <w:rFonts w:cstheme="minorHAnsi"/>
                <w:szCs w:val="24"/>
              </w:rPr>
            </w:pPr>
            <w:r w:rsidRPr="00403D16">
              <w:rPr>
                <w:rFonts w:cstheme="minorHAnsi"/>
                <w:szCs w:val="24"/>
              </w:rPr>
              <w:t xml:space="preserve">Notice Deadline </w:t>
            </w:r>
          </w:p>
        </w:tc>
        <w:tc>
          <w:tcPr>
            <w:tcW w:w="0" w:type="auto"/>
            <w:tcMar>
              <w:top w:w="86" w:type="dxa"/>
              <w:left w:w="115" w:type="dxa"/>
              <w:bottom w:w="86" w:type="dxa"/>
              <w:right w:w="115" w:type="dxa"/>
            </w:tcMar>
            <w:vAlign w:val="center"/>
          </w:tcPr>
          <w:p w14:paraId="795265F0" w14:textId="04984A63" w:rsidR="004A5BED" w:rsidRPr="00403D16" w:rsidRDefault="00C211F1" w:rsidP="00FB282E">
            <w:pPr>
              <w:spacing w:line="240" w:lineRule="exact"/>
              <w:rPr>
                <w:rFonts w:cstheme="minorHAnsi"/>
                <w:szCs w:val="24"/>
              </w:rPr>
            </w:pPr>
            <w:r>
              <w:rPr>
                <w:rFonts w:cstheme="minorHAnsi"/>
                <w:szCs w:val="24"/>
              </w:rPr>
              <w:t>29</w:t>
            </w:r>
            <w:r w:rsidR="00844A0C" w:rsidRPr="00403D16">
              <w:rPr>
                <w:rFonts w:cstheme="minorHAnsi"/>
                <w:szCs w:val="24"/>
              </w:rPr>
              <w:t xml:space="preserve"> </w:t>
            </w:r>
            <w:r>
              <w:rPr>
                <w:rFonts w:cstheme="minorHAnsi"/>
                <w:szCs w:val="24"/>
              </w:rPr>
              <w:t>May</w:t>
            </w:r>
            <w:r w:rsidR="0041169F" w:rsidRPr="00403D16">
              <w:rPr>
                <w:rFonts w:cstheme="minorHAnsi"/>
                <w:szCs w:val="24"/>
              </w:rPr>
              <w:t xml:space="preserve"> </w:t>
            </w:r>
            <w:r w:rsidR="00844A0C" w:rsidRPr="00403D16">
              <w:rPr>
                <w:rFonts w:cstheme="minorHAnsi"/>
                <w:szCs w:val="24"/>
              </w:rPr>
              <w:t xml:space="preserve">2019; </w:t>
            </w:r>
            <w:r w:rsidR="001B0391" w:rsidRPr="00403D16">
              <w:rPr>
                <w:rFonts w:cstheme="minorHAnsi"/>
                <w:szCs w:val="24"/>
              </w:rPr>
              <w:t>1</w:t>
            </w:r>
            <w:r>
              <w:rPr>
                <w:rFonts w:cstheme="minorHAnsi"/>
                <w:szCs w:val="24"/>
              </w:rPr>
              <w:t>6</w:t>
            </w:r>
            <w:r w:rsidR="001B0391" w:rsidRPr="00403D16">
              <w:rPr>
                <w:rFonts w:cstheme="minorHAnsi"/>
                <w:szCs w:val="24"/>
              </w:rPr>
              <w:t>:00 Kosovo</w:t>
            </w:r>
            <w:r w:rsidR="0041169F" w:rsidRPr="00403D16">
              <w:rPr>
                <w:rFonts w:cstheme="minorHAnsi"/>
                <w:szCs w:val="24"/>
              </w:rPr>
              <w:t xml:space="preserve"> Time</w:t>
            </w:r>
          </w:p>
        </w:tc>
      </w:tr>
    </w:tbl>
    <w:p w14:paraId="43D1BCBA" w14:textId="77777777" w:rsidR="00572353" w:rsidRPr="00403D16" w:rsidRDefault="00572353" w:rsidP="00E13831">
      <w:pPr>
        <w:pStyle w:val="NoSpacing"/>
        <w:rPr>
          <w:rFonts w:cstheme="minorHAnsi"/>
          <w:spacing w:val="-2"/>
        </w:rPr>
      </w:pPr>
    </w:p>
    <w:p w14:paraId="5CF233D1" w14:textId="4FBBBDE4" w:rsidR="00FD3BD4" w:rsidRPr="00403D16" w:rsidRDefault="00FD3BD4" w:rsidP="00FD3BD4">
      <w:pPr>
        <w:rPr>
          <w:rFonts w:cstheme="minorHAnsi"/>
          <w:spacing w:val="-2"/>
        </w:rPr>
      </w:pPr>
      <w:r w:rsidRPr="00403D16">
        <w:rPr>
          <w:rFonts w:cstheme="minorHAnsi"/>
          <w:spacing w:val="-2"/>
        </w:rPr>
        <w:t xml:space="preserve">The Government of Kosovo has received grant funding of UD$49 </w:t>
      </w:r>
      <w:r w:rsidR="0041169F" w:rsidRPr="00403D16">
        <w:rPr>
          <w:rFonts w:cstheme="minorHAnsi"/>
          <w:spacing w:val="-2"/>
        </w:rPr>
        <w:t>million</w:t>
      </w:r>
      <w:r w:rsidRPr="00403D16">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403D16">
        <w:rPr>
          <w:rFonts w:cstheme="minorHAnsi"/>
          <w:spacing w:val="-2"/>
        </w:rPr>
        <w:t>MFK intends</w:t>
      </w:r>
      <w:r w:rsidRPr="00403D16">
        <w:rPr>
          <w:rFonts w:cstheme="minorHAnsi"/>
          <w:spacing w:val="-2"/>
        </w:rPr>
        <w:t xml:space="preserve"> to apply part of the proceeds toward payments under the contract for </w:t>
      </w:r>
      <w:r w:rsidR="00C211F1" w:rsidRPr="00C211F1">
        <w:rPr>
          <w:rFonts w:cstheme="minorHAnsi"/>
          <w:spacing w:val="-2"/>
        </w:rPr>
        <w:t>The Implementation of the Women in Energy (WE) – Internship and Scholarship program</w:t>
      </w:r>
      <w:r w:rsidRPr="00403D16">
        <w:rPr>
          <w:rFonts w:cstheme="minorHAnsi"/>
          <w:spacing w:val="-2"/>
        </w:rPr>
        <w:t>.</w:t>
      </w:r>
    </w:p>
    <w:p w14:paraId="200D729B" w14:textId="5D02ADFF" w:rsidR="00FD3BD4" w:rsidRPr="00403D16" w:rsidRDefault="00FD3BD4" w:rsidP="00FD3BD4">
      <w:pPr>
        <w:rPr>
          <w:rFonts w:cstheme="minorHAnsi"/>
          <w:spacing w:val="-2"/>
        </w:rPr>
      </w:pPr>
      <w:r w:rsidRPr="00403D16">
        <w:rPr>
          <w:rFonts w:cstheme="minorHAnsi"/>
          <w:spacing w:val="-2"/>
        </w:rPr>
        <w:t>The Threshold Program in Kosovo is a $49 Million grant that consists of two projects, the Reliable Energy Landscape Project and the Transparent and Accountable Governance Project:</w:t>
      </w:r>
    </w:p>
    <w:p w14:paraId="3EF277C7" w14:textId="77777777" w:rsidR="00FD3BD4" w:rsidRPr="00403D16" w:rsidRDefault="00FD3BD4" w:rsidP="00FB282E">
      <w:pPr>
        <w:jc w:val="both"/>
        <w:rPr>
          <w:rFonts w:cstheme="minorHAnsi"/>
          <w:color w:val="000000"/>
          <w:shd w:val="clear" w:color="auto" w:fill="FFFFFF"/>
        </w:rPr>
      </w:pPr>
      <w:r w:rsidRPr="00403D16">
        <w:rPr>
          <w:rFonts w:cstheme="minorHAnsi"/>
          <w:color w:val="000000"/>
          <w:shd w:val="clear" w:color="auto" w:fill="FFFFFF"/>
        </w:rPr>
        <w:t xml:space="preserve">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w:t>
      </w:r>
      <w:r w:rsidRPr="00403D16">
        <w:rPr>
          <w:rFonts w:cstheme="minorHAnsi"/>
          <w:color w:val="000000"/>
          <w:shd w:val="clear" w:color="auto" w:fill="FFFFFF"/>
        </w:rPr>
        <w:lastRenderedPageBreak/>
        <w:t>barriers to finance for independent power producers, and create opportunities for women to participate in the energy sector through both employment and entrepreneurship and</w:t>
      </w:r>
    </w:p>
    <w:p w14:paraId="76E9F477" w14:textId="77777777" w:rsidR="00FD3BD4" w:rsidRPr="00403D16" w:rsidRDefault="00FD3BD4" w:rsidP="00FB282E">
      <w:pPr>
        <w:jc w:val="both"/>
        <w:rPr>
          <w:rFonts w:cstheme="minorHAnsi"/>
          <w:color w:val="000000"/>
          <w:shd w:val="clear" w:color="auto" w:fill="FFFFFF"/>
        </w:rPr>
      </w:pPr>
      <w:r w:rsidRPr="00403D16">
        <w:rPr>
          <w:rFonts w:cstheme="minorHAnsi"/>
          <w:color w:val="000000"/>
          <w:shd w:val="clear" w:color="auto" w:fill="FFFFFF"/>
        </w:rPr>
        <w:t xml:space="preserve">b)  Transparent and Accountable Governance Project: Government decision-making is often opaque, leading to distrust by the private sector and civil society, and high perceptions of corruption. Kosovo’s judiciary is </w:t>
      </w:r>
      <w:r w:rsidRPr="00403D16">
        <w:rPr>
          <w:rFonts w:cstheme="minorHAnsi"/>
          <w:noProof/>
          <w:color w:val="000000"/>
          <w:shd w:val="clear" w:color="auto" w:fill="FFFFFF"/>
        </w:rPr>
        <w:t>one of</w:t>
      </w:r>
      <w:r w:rsidRPr="00403D16">
        <w:rPr>
          <w:rFonts w:cstheme="minorHAnsi"/>
          <w:color w:val="000000"/>
          <w:shd w:val="clear" w:color="auto" w:fill="FFFFFF"/>
        </w:rPr>
        <w:t xml:space="preserv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140F522C" w14:textId="6BF84490" w:rsidR="00796549" w:rsidRDefault="00C211F1" w:rsidP="00796549">
      <w:pPr>
        <w:rPr>
          <w:rFonts w:cstheme="minorHAnsi"/>
          <w:spacing w:val="-2"/>
        </w:rPr>
      </w:pPr>
      <w:r w:rsidRPr="00C211F1">
        <w:rPr>
          <w:rFonts w:cstheme="minorHAnsi"/>
          <w:spacing w:val="-2"/>
        </w:rPr>
        <w:t>MFK now invites qualified and experienced legally constituted firms to submit Qualifications Documents for the Consultant Services: The Implementation of the Women in Energy (WE) – Internship and Scholarship program</w:t>
      </w:r>
      <w:r w:rsidR="009039A3" w:rsidRPr="00403D16">
        <w:rPr>
          <w:rFonts w:cstheme="minorHAnsi"/>
          <w:spacing w:val="-2"/>
        </w:rPr>
        <w:t>.</w:t>
      </w:r>
    </w:p>
    <w:p w14:paraId="2E6B38EE" w14:textId="4CEF6BA8" w:rsidR="00C211F1" w:rsidRDefault="00C211F1" w:rsidP="00796549">
      <w:pPr>
        <w:rPr>
          <w:rFonts w:cstheme="minorHAnsi"/>
          <w:spacing w:val="-2"/>
        </w:rPr>
      </w:pPr>
      <w:r w:rsidRPr="00C211F1">
        <w:rPr>
          <w:rFonts w:cstheme="minorHAnsi"/>
          <w:spacing w:val="-2"/>
        </w:rPr>
        <w:t xml:space="preserve">The MFK is seeking project management and technical assistance services for the implementation of the Women in Energy (WE) – Internship and Scholarship Program. The objective of this activity is to select an Implementing Company (IC) to manage WE. The IC shall furnish all required personnel, services, materials, travel, office space and logistics necessary to implement the program. The engagement of the IC is expected to start in July-2019, while the delivery of services will be provided during the course of the Threshold Program. The Implementer and its key staff will be based in </w:t>
      </w:r>
      <w:proofErr w:type="spellStart"/>
      <w:r w:rsidRPr="00C211F1">
        <w:rPr>
          <w:rFonts w:cstheme="minorHAnsi"/>
          <w:spacing w:val="-2"/>
        </w:rPr>
        <w:t>Prishtina</w:t>
      </w:r>
      <w:proofErr w:type="spellEnd"/>
      <w:r w:rsidRPr="00C211F1">
        <w:rPr>
          <w:rFonts w:cstheme="minorHAnsi"/>
          <w:spacing w:val="-2"/>
        </w:rPr>
        <w:t>, with services provided throughout Kosovo as needed.</w:t>
      </w:r>
    </w:p>
    <w:p w14:paraId="11E2C721" w14:textId="1E53AABA" w:rsidR="00C211F1" w:rsidRPr="00403D16" w:rsidRDefault="00C211F1" w:rsidP="00796549">
      <w:pPr>
        <w:rPr>
          <w:rFonts w:cstheme="minorHAnsi"/>
          <w:spacing w:val="-2"/>
        </w:rPr>
      </w:pPr>
      <w:r w:rsidRPr="00C211F1">
        <w:rPr>
          <w:rFonts w:cstheme="minorHAnsi"/>
          <w:spacing w:val="-2"/>
        </w:rPr>
        <w:t>A Firm (“The Consultant”) will be selected under the Consultant’s Qualification Selection (CQS) method in accordance with the procedures set out in the MCC Program Procurement Guidelines which are provided on the MCC website (</w:t>
      </w:r>
      <w:hyperlink r:id="rId12" w:history="1">
        <w:r w:rsidRPr="00F81607">
          <w:rPr>
            <w:rStyle w:val="Hyperlink"/>
            <w:rFonts w:cstheme="minorHAnsi"/>
            <w:spacing w:val="-2"/>
          </w:rPr>
          <w:t>https://www.mcc.gov/resources/doc/program-procurement-guidelines</w:t>
        </w:r>
      </w:hyperlink>
      <w:r w:rsidRPr="00C211F1">
        <w:rPr>
          <w:rFonts w:cstheme="minorHAnsi"/>
          <w:spacing w:val="-2"/>
        </w:rPr>
        <w:t>)</w:t>
      </w:r>
      <w:r>
        <w:rPr>
          <w:rFonts w:cstheme="minorHAnsi"/>
          <w:spacing w:val="-2"/>
        </w:rPr>
        <w:t xml:space="preserve"> </w:t>
      </w:r>
      <w:r w:rsidRPr="00403D16">
        <w:rPr>
          <w:rFonts w:cstheme="minorHAnsi"/>
          <w:spacing w:val="-2"/>
        </w:rPr>
        <w:t xml:space="preserve">and is open to all eligible </w:t>
      </w:r>
      <w:r>
        <w:rPr>
          <w:rFonts w:cstheme="minorHAnsi"/>
          <w:spacing w:val="-2"/>
        </w:rPr>
        <w:t>Consultants</w:t>
      </w:r>
      <w:r w:rsidRPr="00403D16">
        <w:rPr>
          <w:rFonts w:cstheme="minorHAnsi"/>
          <w:spacing w:val="-2"/>
        </w:rPr>
        <w:t xml:space="preserve"> as defined in the PPG. </w:t>
      </w:r>
      <w:r w:rsidRPr="00C211F1">
        <w:rPr>
          <w:rFonts w:cstheme="minorHAnsi"/>
          <w:spacing w:val="-2"/>
        </w:rPr>
        <w:t>The selection process, as described, will include a review and verification of qualifications and past performance, including a reference check, prior to the contract award.</w:t>
      </w:r>
    </w:p>
    <w:p w14:paraId="766C92B9" w14:textId="3DD02678" w:rsidR="00E45EE7" w:rsidRPr="00403D16" w:rsidRDefault="001B0391" w:rsidP="00100D42">
      <w:pPr>
        <w:jc w:val="both"/>
        <w:rPr>
          <w:rFonts w:cstheme="minorHAnsi"/>
          <w:lang w:val="en-GB"/>
        </w:rPr>
      </w:pPr>
      <w:r w:rsidRPr="00403D16">
        <w:rPr>
          <w:rFonts w:cstheme="minorHAnsi"/>
          <w:color w:val="000000"/>
          <w:shd w:val="clear" w:color="auto" w:fill="FFFFFF"/>
        </w:rPr>
        <w:t xml:space="preserve">A complete set of </w:t>
      </w:r>
      <w:r w:rsidR="00C211F1">
        <w:rPr>
          <w:rFonts w:cstheme="minorHAnsi"/>
          <w:color w:val="000000"/>
          <w:shd w:val="clear" w:color="auto" w:fill="FFFFFF"/>
        </w:rPr>
        <w:t xml:space="preserve">Request for Consultant Qualifications (RCQ) </w:t>
      </w:r>
      <w:r w:rsidR="00E45EE7" w:rsidRPr="00403D16">
        <w:rPr>
          <w:rFonts w:cstheme="minorHAnsi"/>
          <w:color w:val="000000"/>
          <w:shd w:val="clear" w:color="auto" w:fill="FFFFFF"/>
        </w:rPr>
        <w:t>documents including any clarifications, notices and/or addendums</w:t>
      </w:r>
      <w:r w:rsidRPr="00403D16">
        <w:rPr>
          <w:rFonts w:cstheme="minorHAnsi"/>
          <w:color w:val="000000"/>
          <w:shd w:val="clear" w:color="auto" w:fill="FFFFFF"/>
        </w:rPr>
        <w:t xml:space="preserve"> may be obtained by interested eligible </w:t>
      </w:r>
      <w:r w:rsidR="00C211F1">
        <w:rPr>
          <w:rFonts w:cstheme="minorHAnsi"/>
          <w:color w:val="000000"/>
          <w:shd w:val="clear" w:color="auto" w:fill="FFFFFF"/>
        </w:rPr>
        <w:t>consultants</w:t>
      </w:r>
      <w:r w:rsidRPr="00403D16">
        <w:rPr>
          <w:rFonts w:cstheme="minorHAnsi"/>
          <w:color w:val="000000"/>
          <w:shd w:val="clear" w:color="auto" w:fill="FFFFFF"/>
        </w:rPr>
        <w:t xml:space="preserve"> through the following link</w:t>
      </w:r>
      <w:r w:rsidR="00100D42" w:rsidRPr="00403D16">
        <w:rPr>
          <w:rFonts w:cstheme="minorHAnsi"/>
          <w:color w:val="000000"/>
          <w:shd w:val="clear" w:color="auto" w:fill="FFFFFF"/>
        </w:rPr>
        <w:t xml:space="preserve"> (</w:t>
      </w:r>
      <w:r w:rsidR="00100D42" w:rsidRPr="00403D16">
        <w:rPr>
          <w:rFonts w:cstheme="minorHAnsi"/>
          <w:lang w:val="en-GB"/>
        </w:rPr>
        <w:t xml:space="preserve">Eventual clarifications or </w:t>
      </w:r>
      <w:r w:rsidR="00E61A62" w:rsidRPr="00403D16">
        <w:rPr>
          <w:rFonts w:cstheme="minorHAnsi"/>
          <w:lang w:val="en-GB"/>
        </w:rPr>
        <w:t>any</w:t>
      </w:r>
      <w:r w:rsidR="00100D42" w:rsidRPr="00403D16">
        <w:rPr>
          <w:rFonts w:cstheme="minorHAnsi"/>
          <w:lang w:val="en-GB"/>
        </w:rPr>
        <w:t xml:space="preserve"> changes to the </w:t>
      </w:r>
      <w:r w:rsidR="008841F2">
        <w:rPr>
          <w:rFonts w:cstheme="minorHAnsi"/>
          <w:lang w:val="en-GB"/>
        </w:rPr>
        <w:t>RCQ</w:t>
      </w:r>
      <w:r w:rsidR="009039A3" w:rsidRPr="00403D16">
        <w:rPr>
          <w:rFonts w:cstheme="minorHAnsi"/>
          <w:lang w:val="en-GB"/>
        </w:rPr>
        <w:t xml:space="preserve"> document shall</w:t>
      </w:r>
      <w:r w:rsidR="00100D42" w:rsidRPr="00403D16">
        <w:rPr>
          <w:rFonts w:cstheme="minorHAnsi"/>
          <w:lang w:val="en-GB"/>
        </w:rPr>
        <w:t xml:space="preserve"> be published at the latest </w:t>
      </w:r>
      <w:r w:rsidR="00C211F1">
        <w:rPr>
          <w:rFonts w:cstheme="minorHAnsi"/>
          <w:lang w:val="en-GB"/>
        </w:rPr>
        <w:t>2</w:t>
      </w:r>
      <w:r w:rsidR="00100D42" w:rsidRPr="00403D16">
        <w:rPr>
          <w:rFonts w:cstheme="minorHAnsi"/>
          <w:lang w:val="en-GB"/>
        </w:rPr>
        <w:t xml:space="preserve"> days before the submission deadline on the </w:t>
      </w:r>
      <w:r w:rsidR="009039A3" w:rsidRPr="00403D16">
        <w:rPr>
          <w:rFonts w:cstheme="minorHAnsi"/>
          <w:lang w:val="en-GB"/>
        </w:rPr>
        <w:t>link provided below)</w:t>
      </w:r>
      <w:r w:rsidR="00902397" w:rsidRPr="00403D16">
        <w:rPr>
          <w:rFonts w:cstheme="minorHAnsi"/>
          <w:lang w:val="en-GB"/>
        </w:rPr>
        <w:t>:</w:t>
      </w:r>
    </w:p>
    <w:p w14:paraId="706CD622" w14:textId="4ED26DE9" w:rsidR="00C211F1" w:rsidRPr="0046525D" w:rsidRDefault="008841F2" w:rsidP="00C211F1">
      <w:pPr>
        <w:pStyle w:val="NormalWeb"/>
        <w:spacing w:before="0" w:beforeAutospacing="0" w:after="0" w:afterAutospacing="0"/>
        <w:rPr>
          <w:rFonts w:ascii="Arial" w:hAnsi="Arial" w:cs="Arial"/>
          <w:b/>
          <w:sz w:val="22"/>
          <w:szCs w:val="22"/>
        </w:rPr>
      </w:pPr>
      <w:hyperlink r:id="rId13" w:history="1">
        <w:r w:rsidR="00C211F1" w:rsidRPr="00F81607">
          <w:rPr>
            <w:rStyle w:val="Hyperlink"/>
            <w:rFonts w:ascii="Arial" w:hAnsi="Arial" w:cs="Arial"/>
            <w:b/>
            <w:sz w:val="22"/>
            <w:szCs w:val="22"/>
          </w:rPr>
          <w:t>https://www.dropbox.com/sh/25j0o5uzqntjg58/AADg1D-D_J46FiRUZYIiK</w:t>
        </w:r>
        <w:r w:rsidR="00C211F1" w:rsidRPr="00F81607">
          <w:rPr>
            <w:rStyle w:val="Hyperlink"/>
            <w:rFonts w:ascii="Arial" w:hAnsi="Arial" w:cs="Arial"/>
            <w:b/>
            <w:sz w:val="22"/>
            <w:szCs w:val="22"/>
          </w:rPr>
          <w:t>J</w:t>
        </w:r>
        <w:r w:rsidR="00C211F1" w:rsidRPr="00F81607">
          <w:rPr>
            <w:rStyle w:val="Hyperlink"/>
            <w:rFonts w:ascii="Arial" w:hAnsi="Arial" w:cs="Arial"/>
            <w:b/>
            <w:sz w:val="22"/>
            <w:szCs w:val="22"/>
          </w:rPr>
          <w:t>QQa?dl=0</w:t>
        </w:r>
      </w:hyperlink>
    </w:p>
    <w:p w14:paraId="317DB92C" w14:textId="21C3D208" w:rsidR="001B0391" w:rsidRPr="00403D16" w:rsidRDefault="001B0391" w:rsidP="009039A3">
      <w:pPr>
        <w:pStyle w:val="NormalWeb"/>
        <w:spacing w:before="0" w:beforeAutospacing="0" w:after="0" w:afterAutospacing="0"/>
        <w:rPr>
          <w:rFonts w:asciiTheme="minorHAnsi" w:hAnsiTheme="minorHAnsi" w:cstheme="minorHAnsi"/>
          <w:sz w:val="22"/>
          <w:szCs w:val="22"/>
        </w:rPr>
      </w:pPr>
      <w:r w:rsidRPr="00403D16">
        <w:rPr>
          <w:rFonts w:asciiTheme="minorHAnsi" w:hAnsiTheme="minorHAnsi" w:cstheme="minorHAnsi"/>
          <w:color w:val="000000"/>
          <w:sz w:val="22"/>
          <w:szCs w:val="22"/>
        </w:rPr>
        <w:br/>
      </w:r>
      <w:r w:rsidR="00C211F1">
        <w:rPr>
          <w:rFonts w:asciiTheme="minorHAnsi" w:hAnsiTheme="minorHAnsi" w:cstheme="minorHAnsi"/>
          <w:color w:val="000000"/>
          <w:sz w:val="22"/>
          <w:szCs w:val="22"/>
          <w:shd w:val="clear" w:color="auto" w:fill="FFFFFF"/>
        </w:rPr>
        <w:t xml:space="preserve">Consultants </w:t>
      </w:r>
      <w:r w:rsidRPr="00403D16">
        <w:rPr>
          <w:rFonts w:asciiTheme="minorHAnsi" w:hAnsiTheme="minorHAnsi" w:cstheme="minorHAnsi"/>
          <w:color w:val="000000"/>
          <w:sz w:val="22"/>
          <w:szCs w:val="22"/>
          <w:shd w:val="clear" w:color="auto" w:fill="FFFFFF"/>
        </w:rPr>
        <w:t xml:space="preserve"> interested in submitting a </w:t>
      </w:r>
      <w:r w:rsidR="00C211F1">
        <w:rPr>
          <w:rFonts w:asciiTheme="minorHAnsi" w:hAnsiTheme="minorHAnsi" w:cstheme="minorHAnsi"/>
          <w:color w:val="000000"/>
          <w:sz w:val="22"/>
          <w:szCs w:val="22"/>
          <w:shd w:val="clear" w:color="auto" w:fill="FFFFFF"/>
        </w:rPr>
        <w:t xml:space="preserve">qualifications </w:t>
      </w:r>
      <w:r w:rsidRPr="00403D16">
        <w:rPr>
          <w:rFonts w:asciiTheme="minorHAnsi" w:hAnsiTheme="minorHAnsi" w:cstheme="minorHAnsi"/>
          <w:color w:val="000000"/>
          <w:sz w:val="22"/>
          <w:szCs w:val="22"/>
          <w:shd w:val="clear" w:color="auto" w:fill="FFFFFF"/>
        </w:rPr>
        <w:t xml:space="preserve">should register their interest by sending a completed registration, with the reference and subject of the </w:t>
      </w:r>
      <w:r w:rsidR="00C211F1">
        <w:rPr>
          <w:rFonts w:asciiTheme="minorHAnsi" w:hAnsiTheme="minorHAnsi" w:cstheme="minorHAnsi"/>
          <w:color w:val="000000"/>
          <w:sz w:val="22"/>
          <w:szCs w:val="22"/>
          <w:shd w:val="clear" w:color="auto" w:fill="FFFFFF"/>
        </w:rPr>
        <w:t xml:space="preserve">RCQ </w:t>
      </w:r>
      <w:r w:rsidRPr="00403D16">
        <w:rPr>
          <w:rFonts w:asciiTheme="minorHAnsi" w:hAnsiTheme="minorHAnsi" w:cstheme="minorHAnsi"/>
          <w:color w:val="000000"/>
          <w:sz w:val="22"/>
          <w:szCs w:val="22"/>
          <w:shd w:val="clear" w:color="auto" w:fill="FFFFFF"/>
        </w:rPr>
        <w:t xml:space="preserve"> to the Procurement </w:t>
      </w:r>
      <w:r w:rsidR="00E45EE7" w:rsidRPr="00403D16">
        <w:rPr>
          <w:rFonts w:asciiTheme="minorHAnsi" w:hAnsiTheme="minorHAnsi" w:cstheme="minorHAnsi"/>
          <w:color w:val="000000"/>
          <w:sz w:val="22"/>
          <w:szCs w:val="22"/>
          <w:shd w:val="clear" w:color="auto" w:fill="FFFFFF"/>
        </w:rPr>
        <w:t xml:space="preserve">manager </w:t>
      </w:r>
      <w:r w:rsidRPr="00403D16">
        <w:rPr>
          <w:rFonts w:asciiTheme="minorHAnsi" w:hAnsiTheme="minorHAnsi" w:cstheme="minorHAnsi"/>
          <w:color w:val="000000"/>
          <w:sz w:val="22"/>
          <w:szCs w:val="22"/>
          <w:shd w:val="clear" w:color="auto" w:fill="FFFFFF"/>
        </w:rPr>
        <w:t xml:space="preserve"> at </w:t>
      </w:r>
      <w:hyperlink r:id="rId14" w:history="1">
        <w:r w:rsidR="00E45EE7" w:rsidRPr="00403D16">
          <w:rPr>
            <w:rStyle w:val="Hyperlink"/>
            <w:rFonts w:asciiTheme="minorHAnsi" w:hAnsiTheme="minorHAnsi" w:cstheme="minorHAnsi"/>
            <w:bCs/>
            <w:sz w:val="22"/>
            <w:szCs w:val="22"/>
          </w:rPr>
          <w:t>procurement@millenniumkosovo.org</w:t>
        </w:r>
      </w:hyperlink>
      <w:r w:rsidR="00E45EE7" w:rsidRPr="00403D16">
        <w:rPr>
          <w:rFonts w:asciiTheme="minorHAnsi" w:hAnsiTheme="minorHAnsi" w:cstheme="minorHAnsi"/>
          <w:bCs/>
          <w:sz w:val="22"/>
          <w:szCs w:val="22"/>
        </w:rPr>
        <w:t xml:space="preserve"> </w:t>
      </w:r>
      <w:r w:rsidRPr="00403D16">
        <w:rPr>
          <w:rFonts w:asciiTheme="minorHAnsi" w:hAnsiTheme="minorHAnsi" w:cstheme="minorHAnsi"/>
          <w:color w:val="000000"/>
          <w:sz w:val="22"/>
          <w:szCs w:val="22"/>
          <w:shd w:val="clear" w:color="auto" w:fill="FFFFFF"/>
        </w:rPr>
        <w:t xml:space="preserve">,giving full contact details of the </w:t>
      </w:r>
      <w:r w:rsidR="00C211F1">
        <w:rPr>
          <w:rFonts w:asciiTheme="minorHAnsi" w:hAnsiTheme="minorHAnsi" w:cstheme="minorHAnsi"/>
          <w:color w:val="000000"/>
          <w:sz w:val="22"/>
          <w:szCs w:val="22"/>
          <w:shd w:val="clear" w:color="auto" w:fill="FFFFFF"/>
        </w:rPr>
        <w:t>consultants</w:t>
      </w:r>
      <w:r w:rsidRPr="00403D16">
        <w:rPr>
          <w:rFonts w:asciiTheme="minorHAnsi" w:hAnsiTheme="minorHAnsi" w:cstheme="minorHAnsi"/>
          <w:color w:val="000000"/>
          <w:sz w:val="22"/>
          <w:szCs w:val="22"/>
          <w:shd w:val="clear" w:color="auto" w:fill="FFFFFF"/>
        </w:rPr>
        <w:t xml:space="preserve">. </w:t>
      </w:r>
    </w:p>
    <w:p w14:paraId="4524817B" w14:textId="14DF2BAC" w:rsidR="00A05C4D" w:rsidRPr="00403D16" w:rsidRDefault="00A05C4D" w:rsidP="0004189A">
      <w:pPr>
        <w:pStyle w:val="NoSpacing"/>
        <w:jc w:val="both"/>
        <w:rPr>
          <w:rFonts w:cstheme="minorHAnsi"/>
          <w:spacing w:val="-2"/>
        </w:rPr>
      </w:pPr>
    </w:p>
    <w:p w14:paraId="509B125E" w14:textId="41778FE5" w:rsidR="00100D42" w:rsidRPr="00403D16" w:rsidRDefault="00100D42" w:rsidP="0004189A">
      <w:pPr>
        <w:pStyle w:val="NoSpacing"/>
        <w:jc w:val="both"/>
        <w:rPr>
          <w:rFonts w:cstheme="minorHAnsi"/>
          <w:spacing w:val="-2"/>
        </w:rPr>
      </w:pPr>
      <w:r w:rsidRPr="00403D16">
        <w:rPr>
          <w:rFonts w:cstheme="minorHAnsi"/>
          <w:color w:val="000000"/>
          <w:shd w:val="clear" w:color="auto" w:fill="FFFFFF"/>
        </w:rPr>
        <w:t xml:space="preserve">Please note that only electronic </w:t>
      </w:r>
      <w:r w:rsidR="00C211F1">
        <w:rPr>
          <w:rFonts w:cstheme="minorHAnsi"/>
          <w:color w:val="000000"/>
          <w:shd w:val="clear" w:color="auto" w:fill="FFFFFF"/>
        </w:rPr>
        <w:t xml:space="preserve">applications </w:t>
      </w:r>
      <w:r w:rsidRPr="00403D16">
        <w:rPr>
          <w:rFonts w:cstheme="minorHAnsi"/>
          <w:color w:val="000000"/>
          <w:shd w:val="clear" w:color="auto" w:fill="FFFFFF"/>
        </w:rPr>
        <w:t xml:space="preserve">submitted via the File Request Link shall be accepted. Submissions by hard copy or by email are not acceptable and shall culminate in </w:t>
      </w:r>
      <w:r w:rsidR="00C211F1">
        <w:rPr>
          <w:rFonts w:cstheme="minorHAnsi"/>
          <w:color w:val="000000"/>
          <w:shd w:val="clear" w:color="auto" w:fill="FFFFFF"/>
        </w:rPr>
        <w:t>RCQ</w:t>
      </w:r>
      <w:r w:rsidRPr="00403D16">
        <w:rPr>
          <w:rFonts w:cstheme="minorHAnsi"/>
          <w:color w:val="000000"/>
          <w:shd w:val="clear" w:color="auto" w:fill="FFFFFF"/>
        </w:rPr>
        <w:t xml:space="preserve"> rejection. The File link for submission of </w:t>
      </w:r>
      <w:r w:rsidR="00C211F1">
        <w:rPr>
          <w:rFonts w:cstheme="minorHAnsi"/>
          <w:color w:val="000000"/>
          <w:shd w:val="clear" w:color="auto" w:fill="FFFFFF"/>
        </w:rPr>
        <w:t>qualifications</w:t>
      </w:r>
      <w:r w:rsidRPr="00403D16">
        <w:rPr>
          <w:rFonts w:cstheme="minorHAnsi"/>
          <w:color w:val="000000"/>
          <w:shd w:val="clear" w:color="auto" w:fill="FFFFFF"/>
        </w:rPr>
        <w:t xml:space="preserve"> is included in the </w:t>
      </w:r>
      <w:r w:rsidR="00C211F1">
        <w:rPr>
          <w:rFonts w:cstheme="minorHAnsi"/>
          <w:color w:val="000000"/>
          <w:shd w:val="clear" w:color="auto" w:fill="FFFFFF"/>
        </w:rPr>
        <w:t>RCQ documen</w:t>
      </w:r>
      <w:bookmarkStart w:id="0" w:name="_GoBack"/>
      <w:bookmarkEnd w:id="0"/>
      <w:r w:rsidR="00C211F1">
        <w:rPr>
          <w:rFonts w:cstheme="minorHAnsi"/>
          <w:color w:val="000000"/>
          <w:shd w:val="clear" w:color="auto" w:fill="FFFFFF"/>
        </w:rPr>
        <w:t>t</w:t>
      </w:r>
      <w:r w:rsidRPr="00403D16">
        <w:rPr>
          <w:rFonts w:cstheme="minorHAnsi"/>
          <w:color w:val="000000"/>
          <w:shd w:val="clear" w:color="auto" w:fill="FFFFFF"/>
        </w:rPr>
        <w:t>.</w:t>
      </w:r>
    </w:p>
    <w:p w14:paraId="229378BD" w14:textId="0406EA52" w:rsidR="00A05C4D" w:rsidRPr="00403D16" w:rsidRDefault="00C211F1" w:rsidP="00100D42">
      <w:pPr>
        <w:pStyle w:val="BDSHeading"/>
        <w:rPr>
          <w:rFonts w:asciiTheme="minorHAnsi" w:hAnsiTheme="minorHAnsi" w:cstheme="minorHAnsi"/>
          <w:sz w:val="22"/>
          <w:szCs w:val="22"/>
        </w:rPr>
      </w:pPr>
      <w:r w:rsidRPr="00C211F1">
        <w:rPr>
          <w:rFonts w:asciiTheme="minorHAnsi" w:hAnsiTheme="minorHAnsi" w:cstheme="minorHAnsi"/>
          <w:color w:val="000000"/>
          <w:sz w:val="22"/>
          <w:szCs w:val="22"/>
          <w:shd w:val="clear" w:color="auto" w:fill="FFFFFF"/>
        </w:rPr>
        <w:t xml:space="preserve">Qualifications shall be submitted ONLY to the file request link provided in RCQ documents no later than </w:t>
      </w:r>
      <w:r w:rsidRPr="00C211F1">
        <w:rPr>
          <w:rFonts w:asciiTheme="minorHAnsi" w:hAnsiTheme="minorHAnsi" w:cstheme="minorHAnsi"/>
          <w:b/>
          <w:color w:val="000000"/>
          <w:sz w:val="22"/>
          <w:szCs w:val="22"/>
          <w:shd w:val="clear" w:color="auto" w:fill="FFFFFF"/>
        </w:rPr>
        <w:t>29 May 2019 at 16:00 (Kosovo Time)</w:t>
      </w:r>
      <w:r w:rsidRPr="00C211F1">
        <w:rPr>
          <w:rFonts w:asciiTheme="minorHAnsi" w:hAnsiTheme="minorHAnsi" w:cstheme="minorHAnsi"/>
          <w:color w:val="000000"/>
          <w:sz w:val="22"/>
          <w:szCs w:val="22"/>
          <w:shd w:val="clear" w:color="auto" w:fill="FFFFFF"/>
        </w:rPr>
        <w:t>.</w:t>
      </w:r>
      <w:r w:rsidR="00A05C4D" w:rsidRPr="00403D16">
        <w:rPr>
          <w:rFonts w:asciiTheme="minorHAnsi" w:hAnsiTheme="minorHAnsi" w:cstheme="minorHAnsi"/>
          <w:sz w:val="22"/>
          <w:szCs w:val="22"/>
        </w:rPr>
        <w:t xml:space="preserve"> </w:t>
      </w:r>
      <w:r w:rsidR="0041169F" w:rsidRPr="00403D16">
        <w:rPr>
          <w:rFonts w:asciiTheme="minorHAnsi" w:hAnsiTheme="minorHAnsi" w:cstheme="minorHAnsi"/>
          <w:sz w:val="22"/>
          <w:szCs w:val="22"/>
        </w:rPr>
        <w:t>Only e</w:t>
      </w:r>
      <w:r w:rsidR="00A05C4D" w:rsidRPr="00403D16">
        <w:rPr>
          <w:rFonts w:asciiTheme="minorHAnsi" w:hAnsiTheme="minorHAnsi" w:cstheme="minorHAnsi"/>
          <w:sz w:val="22"/>
          <w:szCs w:val="22"/>
        </w:rPr>
        <w:t xml:space="preserve">lectronic </w:t>
      </w:r>
      <w:r>
        <w:rPr>
          <w:rFonts w:asciiTheme="minorHAnsi" w:hAnsiTheme="minorHAnsi" w:cstheme="minorHAnsi"/>
          <w:sz w:val="22"/>
          <w:szCs w:val="22"/>
        </w:rPr>
        <w:t>submission</w:t>
      </w:r>
      <w:r w:rsidR="00A05C4D" w:rsidRPr="00403D16">
        <w:rPr>
          <w:rFonts w:asciiTheme="minorHAnsi" w:hAnsiTheme="minorHAnsi" w:cstheme="minorHAnsi"/>
          <w:sz w:val="22"/>
          <w:szCs w:val="22"/>
        </w:rPr>
        <w:t xml:space="preserve"> will be permitted.</w:t>
      </w:r>
      <w:r w:rsidR="00A05C4D" w:rsidRPr="00403D16">
        <w:rPr>
          <w:rFonts w:asciiTheme="minorHAnsi" w:hAnsiTheme="minorHAnsi" w:cstheme="minorHAnsi"/>
          <w:spacing w:val="-2"/>
          <w:sz w:val="22"/>
          <w:szCs w:val="22"/>
        </w:rPr>
        <w:t xml:space="preserve"> Late </w:t>
      </w:r>
      <w:r>
        <w:rPr>
          <w:rFonts w:asciiTheme="minorHAnsi" w:hAnsiTheme="minorHAnsi" w:cstheme="minorHAnsi"/>
          <w:spacing w:val="-2"/>
          <w:sz w:val="22"/>
          <w:szCs w:val="22"/>
        </w:rPr>
        <w:t>applications</w:t>
      </w:r>
      <w:r w:rsidR="00303703" w:rsidRPr="00403D16">
        <w:rPr>
          <w:rFonts w:asciiTheme="minorHAnsi" w:hAnsiTheme="minorHAnsi" w:cstheme="minorHAnsi"/>
          <w:spacing w:val="-2"/>
          <w:sz w:val="22"/>
          <w:szCs w:val="22"/>
        </w:rPr>
        <w:t xml:space="preserve"> </w:t>
      </w:r>
      <w:r w:rsidR="00A05C4D" w:rsidRPr="00403D16">
        <w:rPr>
          <w:rFonts w:asciiTheme="minorHAnsi" w:hAnsiTheme="minorHAnsi" w:cstheme="minorHAnsi"/>
          <w:spacing w:val="-2"/>
          <w:sz w:val="22"/>
          <w:szCs w:val="22"/>
        </w:rPr>
        <w:t xml:space="preserve">will be rejected. </w:t>
      </w:r>
    </w:p>
    <w:p w14:paraId="0E8BB31F" w14:textId="58CCDA98" w:rsidR="00A05C4D" w:rsidRPr="00403D16" w:rsidRDefault="00C242D6" w:rsidP="00A05C4D">
      <w:pPr>
        <w:suppressAutoHyphens/>
        <w:rPr>
          <w:rFonts w:cstheme="minorHAnsi"/>
          <w:spacing w:val="-2"/>
        </w:rPr>
      </w:pPr>
      <w:r w:rsidRPr="00403D16">
        <w:rPr>
          <w:rFonts w:cstheme="minorHAnsi"/>
          <w:spacing w:val="-2"/>
        </w:rPr>
        <w:lastRenderedPageBreak/>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9A55C9" w:rsidRPr="00403D16" w14:paraId="2FFB218C" w14:textId="77777777" w:rsidTr="00FB282E">
        <w:trPr>
          <w:trHeight w:val="624"/>
        </w:trPr>
        <w:tc>
          <w:tcPr>
            <w:tcW w:w="1890" w:type="dxa"/>
          </w:tcPr>
          <w:p w14:paraId="6A9553CB" w14:textId="332E2DF7" w:rsidR="009A55C9" w:rsidRPr="00403D16" w:rsidRDefault="009A55C9" w:rsidP="006A2DC1">
            <w:pPr>
              <w:suppressAutoHyphens/>
              <w:rPr>
                <w:rFonts w:cstheme="minorHAnsi"/>
                <w:iCs/>
                <w:spacing w:val="-2"/>
              </w:rPr>
            </w:pPr>
            <w:r w:rsidRPr="00403D16">
              <w:rPr>
                <w:rFonts w:cstheme="minorHAnsi"/>
                <w:iCs/>
              </w:rPr>
              <w:t xml:space="preserve">The </w:t>
            </w:r>
            <w:r w:rsidR="00B6337F" w:rsidRPr="00403D16">
              <w:rPr>
                <w:rFonts w:cstheme="minorHAnsi"/>
                <w:iCs/>
              </w:rPr>
              <w:t>addresses</w:t>
            </w:r>
            <w:r w:rsidRPr="00403D16">
              <w:rPr>
                <w:rFonts w:cstheme="minorHAnsi"/>
                <w:iCs/>
              </w:rPr>
              <w:t xml:space="preserve">: </w:t>
            </w:r>
          </w:p>
          <w:p w14:paraId="640952D3" w14:textId="77777777" w:rsidR="009A55C9" w:rsidRPr="00403D16" w:rsidRDefault="009A55C9" w:rsidP="006A2DC1">
            <w:pPr>
              <w:suppressAutoHyphens/>
              <w:rPr>
                <w:rFonts w:cstheme="minorHAnsi"/>
                <w:spacing w:val="-2"/>
              </w:rPr>
            </w:pPr>
          </w:p>
        </w:tc>
        <w:tc>
          <w:tcPr>
            <w:tcW w:w="7465" w:type="dxa"/>
          </w:tcPr>
          <w:p w14:paraId="54BB4962" w14:textId="1F0FD562" w:rsidR="00B6337F" w:rsidRPr="00403D16" w:rsidRDefault="00FD3BD4" w:rsidP="006A2DC1">
            <w:pPr>
              <w:suppressAutoHyphens/>
              <w:rPr>
                <w:rFonts w:cstheme="minorHAnsi"/>
              </w:rPr>
            </w:pPr>
            <w:r w:rsidRPr="00403D16">
              <w:rPr>
                <w:rFonts w:cstheme="minorHAnsi"/>
              </w:rPr>
              <w:t>Str. “</w:t>
            </w:r>
            <w:proofErr w:type="spellStart"/>
            <w:r w:rsidRPr="00403D16">
              <w:rPr>
                <w:rFonts w:cstheme="minorHAnsi"/>
              </w:rPr>
              <w:t>Migjeni</w:t>
            </w:r>
            <w:proofErr w:type="spellEnd"/>
            <w:r w:rsidRPr="00403D16">
              <w:rPr>
                <w:rFonts w:cstheme="minorHAnsi"/>
              </w:rPr>
              <w:t xml:space="preserve">” no. 21 (ex-Bank of Ljubljana, floor IX), Postal Code:10000 </w:t>
            </w:r>
            <w:proofErr w:type="spellStart"/>
            <w:r w:rsidRPr="00403D16">
              <w:rPr>
                <w:rFonts w:cstheme="minorHAnsi"/>
              </w:rPr>
              <w:t>Prishtina</w:t>
            </w:r>
            <w:proofErr w:type="spellEnd"/>
            <w:r w:rsidRPr="00403D16">
              <w:rPr>
                <w:rFonts w:cstheme="minorHAnsi"/>
              </w:rPr>
              <w:t>, Kosovo</w:t>
            </w:r>
          </w:p>
        </w:tc>
      </w:tr>
      <w:tr w:rsidR="009A55C9" w:rsidRPr="00403D16" w14:paraId="6583AF83" w14:textId="77777777" w:rsidTr="00FB282E">
        <w:trPr>
          <w:trHeight w:val="291"/>
        </w:trPr>
        <w:tc>
          <w:tcPr>
            <w:tcW w:w="1890" w:type="dxa"/>
          </w:tcPr>
          <w:p w14:paraId="5042D5BE" w14:textId="61439EE7" w:rsidR="009A55C9" w:rsidRPr="00403D16" w:rsidRDefault="009A55C9" w:rsidP="006A2DC1">
            <w:pPr>
              <w:suppressAutoHyphens/>
              <w:rPr>
                <w:rFonts w:cstheme="minorHAnsi"/>
                <w:iCs/>
                <w:spacing w:val="-2"/>
              </w:rPr>
            </w:pPr>
            <w:r w:rsidRPr="00403D16">
              <w:rPr>
                <w:rFonts w:cstheme="minorHAnsi"/>
                <w:iCs/>
                <w:spacing w:val="-2"/>
              </w:rPr>
              <w:t xml:space="preserve">Attn: </w:t>
            </w:r>
          </w:p>
        </w:tc>
        <w:tc>
          <w:tcPr>
            <w:tcW w:w="7465" w:type="dxa"/>
          </w:tcPr>
          <w:p w14:paraId="2F0ECAB8" w14:textId="25EC59C8" w:rsidR="009A55C9" w:rsidRPr="00403D16" w:rsidRDefault="00FD3BD4" w:rsidP="006A2DC1">
            <w:pPr>
              <w:suppressAutoHyphens/>
              <w:rPr>
                <w:rFonts w:cstheme="minorHAnsi"/>
              </w:rPr>
            </w:pPr>
            <w:r w:rsidRPr="00403D16">
              <w:rPr>
                <w:rFonts w:cstheme="minorHAnsi"/>
              </w:rPr>
              <w:t>Procurement Manager</w:t>
            </w:r>
          </w:p>
        </w:tc>
      </w:tr>
      <w:tr w:rsidR="009A55C9" w:rsidRPr="00403D16" w14:paraId="7D73A8AA" w14:textId="77777777" w:rsidTr="00FB282E">
        <w:trPr>
          <w:trHeight w:val="291"/>
        </w:trPr>
        <w:tc>
          <w:tcPr>
            <w:tcW w:w="1890" w:type="dxa"/>
          </w:tcPr>
          <w:p w14:paraId="07F1170D" w14:textId="0A405683" w:rsidR="009A55C9" w:rsidRPr="00403D16" w:rsidRDefault="009A55C9" w:rsidP="006A2DC1">
            <w:pPr>
              <w:suppressAutoHyphens/>
              <w:rPr>
                <w:rFonts w:cstheme="minorHAnsi"/>
                <w:iCs/>
                <w:spacing w:val="-2"/>
              </w:rPr>
            </w:pPr>
            <w:r w:rsidRPr="00403D16">
              <w:rPr>
                <w:rFonts w:cstheme="minorHAnsi"/>
                <w:spacing w:val="-2"/>
              </w:rPr>
              <w:t>Tel:</w:t>
            </w:r>
            <w:r w:rsidRPr="00403D16">
              <w:rPr>
                <w:rFonts w:cstheme="minorHAnsi"/>
                <w:iCs/>
                <w:spacing w:val="-2"/>
              </w:rPr>
              <w:t xml:space="preserve"> </w:t>
            </w:r>
          </w:p>
        </w:tc>
        <w:tc>
          <w:tcPr>
            <w:tcW w:w="7465" w:type="dxa"/>
          </w:tcPr>
          <w:p w14:paraId="470DF4C3" w14:textId="6BC546F7" w:rsidR="009A55C9" w:rsidRPr="00403D16" w:rsidRDefault="00B6337F" w:rsidP="006A2DC1">
            <w:pPr>
              <w:suppressAutoHyphens/>
              <w:rPr>
                <w:rFonts w:cstheme="minorHAnsi"/>
                <w:spacing w:val="-2"/>
              </w:rPr>
            </w:pPr>
            <w:r w:rsidRPr="00403D16">
              <w:rPr>
                <w:rFonts w:cstheme="minorHAnsi"/>
                <w:color w:val="000000"/>
                <w:shd w:val="clear" w:color="auto" w:fill="FFFFFF"/>
              </w:rPr>
              <w:t>00 383 38 752 110 </w:t>
            </w:r>
          </w:p>
        </w:tc>
      </w:tr>
      <w:tr w:rsidR="009A55C9" w:rsidRPr="00403D16" w14:paraId="1F6BC53A" w14:textId="77777777" w:rsidTr="00FB282E">
        <w:trPr>
          <w:trHeight w:val="291"/>
        </w:trPr>
        <w:tc>
          <w:tcPr>
            <w:tcW w:w="1890" w:type="dxa"/>
          </w:tcPr>
          <w:p w14:paraId="2DD58CA4" w14:textId="230E2362" w:rsidR="009A55C9" w:rsidRPr="00403D16" w:rsidRDefault="009A55C9" w:rsidP="006A2DC1">
            <w:pPr>
              <w:suppressAutoHyphens/>
              <w:rPr>
                <w:rFonts w:cstheme="minorHAnsi"/>
                <w:spacing w:val="-2"/>
              </w:rPr>
            </w:pPr>
            <w:r w:rsidRPr="00403D16">
              <w:rPr>
                <w:rFonts w:cstheme="minorHAnsi"/>
                <w:spacing w:val="-2"/>
              </w:rPr>
              <w:t>E-mail:</w:t>
            </w:r>
          </w:p>
        </w:tc>
        <w:tc>
          <w:tcPr>
            <w:tcW w:w="7465" w:type="dxa"/>
          </w:tcPr>
          <w:p w14:paraId="74814CCA" w14:textId="358616A4" w:rsidR="009A55C9" w:rsidRPr="00403D16" w:rsidRDefault="00B6337F" w:rsidP="006A2DC1">
            <w:pPr>
              <w:suppressAutoHyphens/>
              <w:jc w:val="both"/>
              <w:rPr>
                <w:rFonts w:cstheme="minorHAnsi"/>
                <w:spacing w:val="-2"/>
              </w:rPr>
            </w:pPr>
            <w:r w:rsidRPr="00403D16">
              <w:rPr>
                <w:rFonts w:cstheme="minorHAnsi"/>
                <w:bCs/>
              </w:rPr>
              <w:t>procurement@millenniumkosovo.org</w:t>
            </w:r>
          </w:p>
        </w:tc>
      </w:tr>
      <w:tr w:rsidR="009A55C9" w:rsidRPr="00403D16" w14:paraId="373CDD9F" w14:textId="77777777" w:rsidTr="00FB282E">
        <w:trPr>
          <w:trHeight w:val="277"/>
        </w:trPr>
        <w:tc>
          <w:tcPr>
            <w:tcW w:w="1890" w:type="dxa"/>
          </w:tcPr>
          <w:p w14:paraId="047A0A3B" w14:textId="19599A6A" w:rsidR="009A55C9" w:rsidRPr="00403D16" w:rsidRDefault="009A55C9" w:rsidP="006A2DC1">
            <w:pPr>
              <w:pStyle w:val="TextBox"/>
              <w:keepNext w:val="0"/>
              <w:keepLines w:val="0"/>
              <w:tabs>
                <w:tab w:val="clear" w:pos="-720"/>
              </w:tabs>
              <w:rPr>
                <w:rFonts w:asciiTheme="minorHAnsi" w:hAnsiTheme="minorHAnsi" w:cstheme="minorHAnsi"/>
                <w:szCs w:val="22"/>
              </w:rPr>
            </w:pPr>
            <w:r w:rsidRPr="00403D16">
              <w:rPr>
                <w:rFonts w:asciiTheme="minorHAnsi" w:hAnsiTheme="minorHAnsi" w:cstheme="minorHAnsi"/>
                <w:szCs w:val="22"/>
              </w:rPr>
              <w:t>Website:</w:t>
            </w:r>
          </w:p>
        </w:tc>
        <w:tc>
          <w:tcPr>
            <w:tcW w:w="7465" w:type="dxa"/>
          </w:tcPr>
          <w:p w14:paraId="58E729D6" w14:textId="64CFF120" w:rsidR="009A55C9" w:rsidRPr="00403D16" w:rsidRDefault="008841F2" w:rsidP="006A2DC1">
            <w:pPr>
              <w:suppressAutoHyphens/>
              <w:rPr>
                <w:rFonts w:cstheme="minorHAnsi"/>
                <w:spacing w:val="-2"/>
              </w:rPr>
            </w:pPr>
            <w:hyperlink r:id="rId15" w:history="1">
              <w:r w:rsidR="00B6337F" w:rsidRPr="00403D16">
                <w:rPr>
                  <w:rStyle w:val="Hyperlink"/>
                  <w:rFonts w:cstheme="minorHAnsi"/>
                  <w:b/>
                </w:rPr>
                <w:t>www.millenniumkosovo.org</w:t>
              </w:r>
            </w:hyperlink>
          </w:p>
        </w:tc>
      </w:tr>
    </w:tbl>
    <w:p w14:paraId="45EAD60E" w14:textId="77777777" w:rsidR="009A55C9" w:rsidRPr="00403D16" w:rsidRDefault="009A55C9" w:rsidP="00A05C4D">
      <w:pPr>
        <w:suppressAutoHyphens/>
        <w:rPr>
          <w:rFonts w:cstheme="minorHAnsi"/>
          <w:spacing w:val="-2"/>
        </w:rPr>
      </w:pPr>
    </w:p>
    <w:p w14:paraId="3BD0DF9D" w14:textId="77777777" w:rsidR="00A05C4D" w:rsidRPr="00403D16" w:rsidRDefault="00A05C4D" w:rsidP="00A05C4D">
      <w:pPr>
        <w:suppressAutoHyphens/>
        <w:rPr>
          <w:rFonts w:cstheme="minorHAnsi"/>
          <w:spacing w:val="-2"/>
        </w:rPr>
      </w:pPr>
    </w:p>
    <w:p w14:paraId="248830B0" w14:textId="77777777" w:rsidR="00A05C4D" w:rsidRPr="009039A3" w:rsidRDefault="00A05C4D">
      <w:pPr>
        <w:pStyle w:val="NoSpacing"/>
        <w:rPr>
          <w:rFonts w:cstheme="minorHAnsi"/>
          <w:sz w:val="24"/>
          <w:szCs w:val="24"/>
        </w:rPr>
      </w:pPr>
    </w:p>
    <w:p w14:paraId="084D47A2" w14:textId="59CF3D3F" w:rsidR="008E0B48" w:rsidRPr="009039A3" w:rsidRDefault="008E0B48" w:rsidP="00E13831">
      <w:pPr>
        <w:pStyle w:val="NoSpacing"/>
        <w:rPr>
          <w:rFonts w:cstheme="minorHAnsi"/>
          <w:sz w:val="24"/>
          <w:szCs w:val="24"/>
        </w:rPr>
      </w:pPr>
    </w:p>
    <w:sectPr w:rsidR="008E0B48" w:rsidRPr="009039A3" w:rsidSect="002C17E0">
      <w:footerReference w:type="default" r:id="rId16"/>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rgUAao+1/SwAAAA="/>
  </w:docVars>
  <w:rsids>
    <w:rsidRoot w:val="00937761"/>
    <w:rsid w:val="0004189A"/>
    <w:rsid w:val="00051C5F"/>
    <w:rsid w:val="000F0DA4"/>
    <w:rsid w:val="00100D42"/>
    <w:rsid w:val="001B0391"/>
    <w:rsid w:val="002900B8"/>
    <w:rsid w:val="002A79E2"/>
    <w:rsid w:val="002C17E0"/>
    <w:rsid w:val="0030369A"/>
    <w:rsid w:val="00303703"/>
    <w:rsid w:val="003434DD"/>
    <w:rsid w:val="003C707B"/>
    <w:rsid w:val="00403D16"/>
    <w:rsid w:val="0041169F"/>
    <w:rsid w:val="00441E69"/>
    <w:rsid w:val="00446095"/>
    <w:rsid w:val="00451097"/>
    <w:rsid w:val="00493F56"/>
    <w:rsid w:val="004A5BED"/>
    <w:rsid w:val="004B16B0"/>
    <w:rsid w:val="00510D13"/>
    <w:rsid w:val="00562B0B"/>
    <w:rsid w:val="00571D1B"/>
    <w:rsid w:val="00572353"/>
    <w:rsid w:val="00591ADD"/>
    <w:rsid w:val="00660B08"/>
    <w:rsid w:val="00672220"/>
    <w:rsid w:val="00674FE5"/>
    <w:rsid w:val="006A2DC1"/>
    <w:rsid w:val="006F54BB"/>
    <w:rsid w:val="00777591"/>
    <w:rsid w:val="00796549"/>
    <w:rsid w:val="00821EEA"/>
    <w:rsid w:val="008265B6"/>
    <w:rsid w:val="00844A0C"/>
    <w:rsid w:val="00874DE1"/>
    <w:rsid w:val="008841F2"/>
    <w:rsid w:val="008A1552"/>
    <w:rsid w:val="008E0B48"/>
    <w:rsid w:val="008E6816"/>
    <w:rsid w:val="00902397"/>
    <w:rsid w:val="009039A3"/>
    <w:rsid w:val="009334EA"/>
    <w:rsid w:val="00937761"/>
    <w:rsid w:val="009451DC"/>
    <w:rsid w:val="009A55C9"/>
    <w:rsid w:val="009C463B"/>
    <w:rsid w:val="009C592B"/>
    <w:rsid w:val="00A05C4D"/>
    <w:rsid w:val="00AF17E4"/>
    <w:rsid w:val="00B6337F"/>
    <w:rsid w:val="00BD4879"/>
    <w:rsid w:val="00C113BF"/>
    <w:rsid w:val="00C157D6"/>
    <w:rsid w:val="00C211F1"/>
    <w:rsid w:val="00C242D6"/>
    <w:rsid w:val="00C50A22"/>
    <w:rsid w:val="00C53F98"/>
    <w:rsid w:val="00C61C04"/>
    <w:rsid w:val="00C67AAB"/>
    <w:rsid w:val="00C935A8"/>
    <w:rsid w:val="00D41C38"/>
    <w:rsid w:val="00E01176"/>
    <w:rsid w:val="00E13831"/>
    <w:rsid w:val="00E45EE7"/>
    <w:rsid w:val="00E53DBC"/>
    <w:rsid w:val="00E61A62"/>
    <w:rsid w:val="00E66DA1"/>
    <w:rsid w:val="00EC36F8"/>
    <w:rsid w:val="00F2692B"/>
    <w:rsid w:val="00F46C2D"/>
    <w:rsid w:val="00F91CA8"/>
    <w:rsid w:val="00FB282E"/>
    <w:rsid w:val="00FD3BD4"/>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h/25j0o5uzqntjg58/AADg1D-D_J46FiRUZYIiKJQQa?dl=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c.gov/resources/doc/program-procurement-guidelin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llenniumkosov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C8E4-BF54-43D0-98AB-8E6DEF5D077C}">
  <ds:schemaRefs>
    <ds:schemaRef ds:uri="http://schemas.microsoft.com/office/2006/documentManagement/types"/>
    <ds:schemaRef ds:uri="http://purl.org/dc/terms/"/>
    <ds:schemaRef ds:uri="53a8ba67-0602-47b9-9349-f2688a61c988"/>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5996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4</cp:revision>
  <dcterms:created xsi:type="dcterms:W3CDTF">2019-05-17T09:27:00Z</dcterms:created>
  <dcterms:modified xsi:type="dcterms:W3CDTF">2019-05-17T09:36:00Z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