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FBC1" w14:textId="77777777" w:rsidR="00CA73D1" w:rsidRPr="00665739" w:rsidRDefault="00CA73D1" w:rsidP="00CA73D1">
      <w:pPr>
        <w:pStyle w:val="NoSpacing"/>
        <w:rPr>
          <w:b/>
          <w:i/>
        </w:rPr>
      </w:pPr>
      <w:r w:rsidRPr="00665739">
        <w:rPr>
          <w:noProof/>
        </w:rPr>
        <w:drawing>
          <wp:inline distT="0" distB="0" distL="0" distR="0" wp14:anchorId="5AFC907A" wp14:editId="263F6F1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23F1CEF7" w14:textId="369257BD" w:rsidR="00CA73D1" w:rsidRPr="00665739" w:rsidRDefault="00CA73D1" w:rsidP="00CA73D1">
      <w:pPr>
        <w:pStyle w:val="NoSpacing"/>
        <w:jc w:val="center"/>
        <w:rPr>
          <w:b/>
          <w:sz w:val="28"/>
          <w:szCs w:val="28"/>
        </w:rPr>
      </w:pPr>
      <w:r w:rsidRPr="00665739">
        <w:rPr>
          <w:b/>
          <w:sz w:val="28"/>
          <w:szCs w:val="28"/>
        </w:rPr>
        <w:t>SPECIFIC PROCUREMENT NOTICE (SPN)</w:t>
      </w:r>
    </w:p>
    <w:p w14:paraId="0E9DA7E2" w14:textId="77777777" w:rsidR="00CA73D1" w:rsidRPr="00665739" w:rsidRDefault="00CA73D1" w:rsidP="00CA73D1">
      <w:pPr>
        <w:pStyle w:val="NoSpacing"/>
        <w:jc w:val="center"/>
        <w:rPr>
          <w:b/>
          <w:sz w:val="20"/>
          <w:szCs w:val="20"/>
        </w:rPr>
      </w:pPr>
    </w:p>
    <w:p w14:paraId="513E4DE3" w14:textId="77777777" w:rsidR="00CA73D1" w:rsidRPr="00665739" w:rsidRDefault="00CA73D1" w:rsidP="00CA73D1">
      <w:pPr>
        <w:pStyle w:val="NoSpacing"/>
        <w:rPr>
          <w:b/>
          <w:sz w:val="20"/>
          <w:szCs w:val="20"/>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823"/>
        <w:gridCol w:w="4807"/>
      </w:tblGrid>
      <w:tr w:rsidR="00CA73D1" w:rsidRPr="00665739" w14:paraId="63906954" w14:textId="77777777" w:rsidTr="007B37C0">
        <w:trPr>
          <w:trHeight w:val="20"/>
        </w:trPr>
        <w:tc>
          <w:tcPr>
            <w:tcW w:w="3823" w:type="dxa"/>
            <w:tcMar>
              <w:top w:w="86" w:type="dxa"/>
              <w:left w:w="115" w:type="dxa"/>
              <w:bottom w:w="86" w:type="dxa"/>
              <w:right w:w="115" w:type="dxa"/>
            </w:tcMar>
            <w:vAlign w:val="center"/>
          </w:tcPr>
          <w:p w14:paraId="5E3ECD90" w14:textId="77777777" w:rsidR="00CA73D1" w:rsidRPr="00665739" w:rsidRDefault="00CA73D1" w:rsidP="007B37C0">
            <w:pPr>
              <w:spacing w:before="0"/>
              <w:rPr>
                <w:sz w:val="22"/>
                <w:szCs w:val="22"/>
              </w:rPr>
            </w:pPr>
            <w:r w:rsidRPr="00665739">
              <w:rPr>
                <w:sz w:val="22"/>
                <w:szCs w:val="22"/>
              </w:rPr>
              <w:t>Country</w:t>
            </w:r>
          </w:p>
        </w:tc>
        <w:tc>
          <w:tcPr>
            <w:tcW w:w="4807" w:type="dxa"/>
            <w:tcMar>
              <w:top w:w="86" w:type="dxa"/>
              <w:left w:w="115" w:type="dxa"/>
              <w:bottom w:w="86" w:type="dxa"/>
              <w:right w:w="115" w:type="dxa"/>
            </w:tcMar>
            <w:vAlign w:val="center"/>
          </w:tcPr>
          <w:p w14:paraId="2A60EDD2" w14:textId="77777777" w:rsidR="00CA73D1" w:rsidRPr="00665739" w:rsidRDefault="00CA73D1" w:rsidP="007B37C0">
            <w:pPr>
              <w:spacing w:before="0"/>
              <w:rPr>
                <w:sz w:val="22"/>
                <w:szCs w:val="22"/>
              </w:rPr>
            </w:pPr>
            <w:r w:rsidRPr="00665739">
              <w:rPr>
                <w:sz w:val="22"/>
                <w:szCs w:val="22"/>
              </w:rPr>
              <w:t>Kosovo</w:t>
            </w:r>
          </w:p>
        </w:tc>
      </w:tr>
      <w:tr w:rsidR="00CA73D1" w:rsidRPr="00665739" w14:paraId="24BC9661" w14:textId="77777777" w:rsidTr="007B37C0">
        <w:trPr>
          <w:trHeight w:val="20"/>
        </w:trPr>
        <w:tc>
          <w:tcPr>
            <w:tcW w:w="3823" w:type="dxa"/>
            <w:tcMar>
              <w:top w:w="86" w:type="dxa"/>
              <w:left w:w="115" w:type="dxa"/>
              <w:bottom w:w="86" w:type="dxa"/>
              <w:right w:w="115" w:type="dxa"/>
            </w:tcMar>
            <w:vAlign w:val="center"/>
          </w:tcPr>
          <w:p w14:paraId="3625A5C4" w14:textId="77777777" w:rsidR="00CA73D1" w:rsidRPr="00665739" w:rsidRDefault="00CA73D1" w:rsidP="007B37C0">
            <w:pPr>
              <w:spacing w:before="0"/>
              <w:rPr>
                <w:sz w:val="22"/>
                <w:szCs w:val="22"/>
              </w:rPr>
            </w:pPr>
            <w:r w:rsidRPr="00665739">
              <w:rPr>
                <w:sz w:val="22"/>
                <w:szCs w:val="22"/>
              </w:rPr>
              <w:t>Project Name</w:t>
            </w:r>
          </w:p>
        </w:tc>
        <w:tc>
          <w:tcPr>
            <w:tcW w:w="4807" w:type="dxa"/>
            <w:tcMar>
              <w:top w:w="86" w:type="dxa"/>
              <w:left w:w="115" w:type="dxa"/>
              <w:bottom w:w="86" w:type="dxa"/>
              <w:right w:w="115" w:type="dxa"/>
            </w:tcMar>
            <w:vAlign w:val="center"/>
          </w:tcPr>
          <w:p w14:paraId="5D551968" w14:textId="77777777" w:rsidR="00CA73D1" w:rsidRPr="00665739" w:rsidRDefault="00CA73D1" w:rsidP="007B37C0">
            <w:pPr>
              <w:spacing w:before="0"/>
              <w:rPr>
                <w:sz w:val="22"/>
                <w:szCs w:val="22"/>
              </w:rPr>
            </w:pPr>
            <w:r w:rsidRPr="00665739">
              <w:rPr>
                <w:sz w:val="22"/>
                <w:szCs w:val="22"/>
              </w:rPr>
              <w:t>Threshold Program</w:t>
            </w:r>
          </w:p>
        </w:tc>
      </w:tr>
      <w:tr w:rsidR="00CA73D1" w:rsidRPr="00665739" w14:paraId="262B4AEA" w14:textId="77777777" w:rsidTr="007B37C0">
        <w:trPr>
          <w:trHeight w:val="20"/>
        </w:trPr>
        <w:tc>
          <w:tcPr>
            <w:tcW w:w="3823" w:type="dxa"/>
            <w:tcMar>
              <w:top w:w="86" w:type="dxa"/>
              <w:left w:w="115" w:type="dxa"/>
              <w:bottom w:w="86" w:type="dxa"/>
              <w:right w:w="115" w:type="dxa"/>
            </w:tcMar>
            <w:vAlign w:val="center"/>
          </w:tcPr>
          <w:p w14:paraId="71E1DAC8" w14:textId="77777777" w:rsidR="00CA73D1" w:rsidRPr="00665739" w:rsidRDefault="00CA73D1" w:rsidP="007B37C0">
            <w:pPr>
              <w:spacing w:before="0"/>
              <w:rPr>
                <w:sz w:val="22"/>
                <w:szCs w:val="22"/>
              </w:rPr>
            </w:pPr>
            <w:bookmarkStart w:id="0" w:name="_Hlk70082730"/>
            <w:r w:rsidRPr="00665739">
              <w:rPr>
                <w:sz w:val="22"/>
                <w:szCs w:val="22"/>
              </w:rPr>
              <w:t xml:space="preserve">Procurement Title </w:t>
            </w:r>
          </w:p>
        </w:tc>
        <w:tc>
          <w:tcPr>
            <w:tcW w:w="4807" w:type="dxa"/>
            <w:tcMar>
              <w:top w:w="86" w:type="dxa"/>
              <w:left w:w="115" w:type="dxa"/>
              <w:bottom w:w="86" w:type="dxa"/>
              <w:right w:w="115" w:type="dxa"/>
            </w:tcMar>
            <w:vAlign w:val="center"/>
          </w:tcPr>
          <w:p w14:paraId="009318CE" w14:textId="77777777" w:rsidR="00CA73D1" w:rsidRPr="00665739" w:rsidRDefault="00CA73D1" w:rsidP="007B37C0">
            <w:pPr>
              <w:spacing w:before="0"/>
              <w:rPr>
                <w:sz w:val="22"/>
                <w:szCs w:val="22"/>
              </w:rPr>
            </w:pPr>
            <w:r w:rsidRPr="00665739">
              <w:rPr>
                <w:sz w:val="22"/>
                <w:szCs w:val="22"/>
              </w:rPr>
              <w:t>Procurement of Information Systems (Design, Supply and Installation) ICT Systems for Public Access to Judicial Information</w:t>
            </w:r>
          </w:p>
        </w:tc>
      </w:tr>
      <w:bookmarkEnd w:id="0"/>
      <w:tr w:rsidR="00CA73D1" w:rsidRPr="00665739" w14:paraId="031FECFA" w14:textId="77777777" w:rsidTr="007B37C0">
        <w:trPr>
          <w:trHeight w:val="20"/>
        </w:trPr>
        <w:tc>
          <w:tcPr>
            <w:tcW w:w="3823" w:type="dxa"/>
            <w:tcMar>
              <w:top w:w="86" w:type="dxa"/>
              <w:left w:w="115" w:type="dxa"/>
              <w:bottom w:w="86" w:type="dxa"/>
              <w:right w:w="115" w:type="dxa"/>
            </w:tcMar>
            <w:vAlign w:val="center"/>
          </w:tcPr>
          <w:p w14:paraId="65E5AFB3" w14:textId="77777777" w:rsidR="00CA73D1" w:rsidRPr="00665739" w:rsidRDefault="00CA73D1" w:rsidP="007B37C0">
            <w:pPr>
              <w:spacing w:before="0"/>
              <w:rPr>
                <w:sz w:val="22"/>
                <w:szCs w:val="22"/>
              </w:rPr>
            </w:pPr>
            <w:r w:rsidRPr="00665739">
              <w:rPr>
                <w:sz w:val="22"/>
                <w:szCs w:val="22"/>
              </w:rPr>
              <w:t xml:space="preserve">Procurement Ref. Number </w:t>
            </w:r>
          </w:p>
        </w:tc>
        <w:tc>
          <w:tcPr>
            <w:tcW w:w="4807" w:type="dxa"/>
            <w:tcMar>
              <w:top w:w="86" w:type="dxa"/>
              <w:left w:w="115" w:type="dxa"/>
              <w:bottom w:w="86" w:type="dxa"/>
              <w:right w:w="115" w:type="dxa"/>
            </w:tcMar>
            <w:vAlign w:val="center"/>
          </w:tcPr>
          <w:p w14:paraId="37925050" w14:textId="77777777" w:rsidR="00CA73D1" w:rsidRPr="00665739" w:rsidRDefault="00CA73D1" w:rsidP="007B37C0">
            <w:pPr>
              <w:spacing w:before="0"/>
              <w:rPr>
                <w:sz w:val="22"/>
                <w:szCs w:val="22"/>
              </w:rPr>
            </w:pPr>
            <w:r w:rsidRPr="00665739">
              <w:rPr>
                <w:sz w:val="22"/>
                <w:szCs w:val="22"/>
              </w:rPr>
              <w:t>BD/CB/2021/014</w:t>
            </w:r>
          </w:p>
        </w:tc>
      </w:tr>
      <w:tr w:rsidR="00CA73D1" w:rsidRPr="00665739" w14:paraId="01BBAD9E" w14:textId="77777777" w:rsidTr="007B37C0">
        <w:trPr>
          <w:trHeight w:val="20"/>
        </w:trPr>
        <w:tc>
          <w:tcPr>
            <w:tcW w:w="3823" w:type="dxa"/>
            <w:tcMar>
              <w:top w:w="86" w:type="dxa"/>
              <w:left w:w="115" w:type="dxa"/>
              <w:bottom w:w="86" w:type="dxa"/>
              <w:right w:w="115" w:type="dxa"/>
            </w:tcMar>
            <w:vAlign w:val="center"/>
          </w:tcPr>
          <w:p w14:paraId="7AD2D31C" w14:textId="77777777" w:rsidR="00CA73D1" w:rsidRPr="00665739" w:rsidRDefault="00CA73D1" w:rsidP="007B37C0">
            <w:pPr>
              <w:spacing w:before="0"/>
              <w:rPr>
                <w:sz w:val="22"/>
                <w:szCs w:val="22"/>
              </w:rPr>
            </w:pPr>
            <w:r w:rsidRPr="00665739">
              <w:rPr>
                <w:sz w:val="22"/>
                <w:szCs w:val="22"/>
              </w:rPr>
              <w:t xml:space="preserve">Type of Procurement </w:t>
            </w:r>
          </w:p>
        </w:tc>
        <w:tc>
          <w:tcPr>
            <w:tcW w:w="4807" w:type="dxa"/>
            <w:tcMar>
              <w:top w:w="86" w:type="dxa"/>
              <w:left w:w="115" w:type="dxa"/>
              <w:bottom w:w="86" w:type="dxa"/>
              <w:right w:w="115" w:type="dxa"/>
            </w:tcMar>
            <w:vAlign w:val="center"/>
          </w:tcPr>
          <w:p w14:paraId="04F9E465" w14:textId="77777777" w:rsidR="00CA73D1" w:rsidRPr="00665739" w:rsidRDefault="00CA73D1" w:rsidP="007B37C0">
            <w:pPr>
              <w:spacing w:before="0"/>
              <w:rPr>
                <w:sz w:val="22"/>
                <w:szCs w:val="22"/>
              </w:rPr>
            </w:pPr>
            <w:r w:rsidRPr="00665739">
              <w:rPr>
                <w:sz w:val="22"/>
                <w:szCs w:val="22"/>
              </w:rPr>
              <w:t xml:space="preserve">Goods and Services </w:t>
            </w:r>
          </w:p>
        </w:tc>
      </w:tr>
      <w:tr w:rsidR="00CA73D1" w:rsidRPr="00665739" w14:paraId="58F0A6C5" w14:textId="77777777" w:rsidTr="007B37C0">
        <w:trPr>
          <w:trHeight w:val="20"/>
        </w:trPr>
        <w:tc>
          <w:tcPr>
            <w:tcW w:w="3823" w:type="dxa"/>
            <w:tcMar>
              <w:top w:w="86" w:type="dxa"/>
              <w:left w:w="115" w:type="dxa"/>
              <w:bottom w:w="86" w:type="dxa"/>
              <w:right w:w="115" w:type="dxa"/>
            </w:tcMar>
            <w:vAlign w:val="center"/>
          </w:tcPr>
          <w:p w14:paraId="18003F59" w14:textId="77777777" w:rsidR="00CA73D1" w:rsidRPr="00665739" w:rsidRDefault="00CA73D1" w:rsidP="007B37C0">
            <w:pPr>
              <w:spacing w:before="0"/>
              <w:rPr>
                <w:sz w:val="22"/>
                <w:szCs w:val="22"/>
              </w:rPr>
            </w:pPr>
            <w:r w:rsidRPr="00665739">
              <w:rPr>
                <w:sz w:val="22"/>
                <w:szCs w:val="22"/>
              </w:rPr>
              <w:t>Employer</w:t>
            </w:r>
          </w:p>
        </w:tc>
        <w:tc>
          <w:tcPr>
            <w:tcW w:w="4807" w:type="dxa"/>
            <w:tcMar>
              <w:top w:w="86" w:type="dxa"/>
              <w:left w:w="115" w:type="dxa"/>
              <w:bottom w:w="86" w:type="dxa"/>
              <w:right w:w="115" w:type="dxa"/>
            </w:tcMar>
            <w:vAlign w:val="center"/>
          </w:tcPr>
          <w:p w14:paraId="5C8AEE9B" w14:textId="77777777" w:rsidR="00CA73D1" w:rsidRPr="00665739" w:rsidRDefault="00CA73D1" w:rsidP="007B37C0">
            <w:pPr>
              <w:spacing w:before="0"/>
              <w:rPr>
                <w:sz w:val="22"/>
                <w:szCs w:val="22"/>
              </w:rPr>
            </w:pPr>
            <w:r w:rsidRPr="00665739">
              <w:rPr>
                <w:sz w:val="22"/>
                <w:szCs w:val="22"/>
              </w:rPr>
              <w:t>Millennium Foundation of Kosovo (MFK)</w:t>
            </w:r>
          </w:p>
        </w:tc>
      </w:tr>
      <w:tr w:rsidR="00CA73D1" w:rsidRPr="00665739" w14:paraId="0FFF4BCD" w14:textId="77777777" w:rsidTr="007B37C0">
        <w:trPr>
          <w:trHeight w:val="20"/>
        </w:trPr>
        <w:tc>
          <w:tcPr>
            <w:tcW w:w="3823" w:type="dxa"/>
            <w:tcMar>
              <w:top w:w="86" w:type="dxa"/>
              <w:left w:w="115" w:type="dxa"/>
              <w:bottom w:w="86" w:type="dxa"/>
              <w:right w:w="115" w:type="dxa"/>
            </w:tcMar>
            <w:vAlign w:val="center"/>
          </w:tcPr>
          <w:p w14:paraId="233AB413" w14:textId="77777777" w:rsidR="00CA73D1" w:rsidRPr="00665739" w:rsidRDefault="00CA73D1" w:rsidP="007B37C0">
            <w:pPr>
              <w:spacing w:before="0"/>
              <w:rPr>
                <w:sz w:val="22"/>
                <w:szCs w:val="22"/>
              </w:rPr>
            </w:pPr>
            <w:r w:rsidRPr="00665739">
              <w:rPr>
                <w:sz w:val="22"/>
                <w:szCs w:val="22"/>
              </w:rPr>
              <w:t xml:space="preserve">Publication Date </w:t>
            </w:r>
          </w:p>
        </w:tc>
        <w:tc>
          <w:tcPr>
            <w:tcW w:w="4807" w:type="dxa"/>
            <w:tcMar>
              <w:top w:w="86" w:type="dxa"/>
              <w:left w:w="115" w:type="dxa"/>
              <w:bottom w:w="86" w:type="dxa"/>
              <w:right w:w="115" w:type="dxa"/>
            </w:tcMar>
          </w:tcPr>
          <w:p w14:paraId="1E1B14F2" w14:textId="77777777" w:rsidR="00CA73D1" w:rsidRPr="00665739" w:rsidRDefault="00CA73D1" w:rsidP="007B37C0">
            <w:pPr>
              <w:spacing w:before="0"/>
              <w:rPr>
                <w:sz w:val="22"/>
                <w:szCs w:val="22"/>
              </w:rPr>
            </w:pPr>
            <w:r w:rsidRPr="00665739">
              <w:rPr>
                <w:sz w:val="22"/>
                <w:szCs w:val="22"/>
              </w:rPr>
              <w:t>09 September 2021</w:t>
            </w:r>
          </w:p>
        </w:tc>
      </w:tr>
      <w:tr w:rsidR="002D60E7" w:rsidRPr="00665739" w14:paraId="288F59C3" w14:textId="77777777" w:rsidTr="007B37C0">
        <w:trPr>
          <w:trHeight w:val="20"/>
        </w:trPr>
        <w:tc>
          <w:tcPr>
            <w:tcW w:w="3823" w:type="dxa"/>
            <w:tcMar>
              <w:top w:w="86" w:type="dxa"/>
              <w:left w:w="115" w:type="dxa"/>
              <w:bottom w:w="86" w:type="dxa"/>
              <w:right w:w="115" w:type="dxa"/>
            </w:tcMar>
            <w:vAlign w:val="center"/>
          </w:tcPr>
          <w:p w14:paraId="3EC7FF05" w14:textId="0FC734DC" w:rsidR="002D60E7" w:rsidRPr="00665739" w:rsidRDefault="002D60E7" w:rsidP="007B37C0">
            <w:pPr>
              <w:spacing w:before="0"/>
              <w:rPr>
                <w:sz w:val="22"/>
                <w:szCs w:val="22"/>
              </w:rPr>
            </w:pPr>
            <w:r>
              <w:rPr>
                <w:sz w:val="22"/>
                <w:szCs w:val="22"/>
              </w:rPr>
              <w:t xml:space="preserve">Amended </w:t>
            </w:r>
          </w:p>
        </w:tc>
        <w:tc>
          <w:tcPr>
            <w:tcW w:w="4807" w:type="dxa"/>
            <w:tcMar>
              <w:top w:w="86" w:type="dxa"/>
              <w:left w:w="115" w:type="dxa"/>
              <w:bottom w:w="86" w:type="dxa"/>
              <w:right w:w="115" w:type="dxa"/>
            </w:tcMar>
          </w:tcPr>
          <w:p w14:paraId="198F4679" w14:textId="3174586E" w:rsidR="002D60E7" w:rsidRPr="00665739" w:rsidRDefault="002D60E7" w:rsidP="007B37C0">
            <w:pPr>
              <w:spacing w:before="0"/>
              <w:rPr>
                <w:sz w:val="22"/>
                <w:szCs w:val="22"/>
              </w:rPr>
            </w:pPr>
            <w:r w:rsidRPr="002D60E7">
              <w:rPr>
                <w:sz w:val="22"/>
                <w:szCs w:val="22"/>
              </w:rPr>
              <w:t>10 September 2021</w:t>
            </w:r>
          </w:p>
        </w:tc>
      </w:tr>
      <w:tr w:rsidR="00CA73D1" w:rsidRPr="00665739" w14:paraId="024420F7" w14:textId="77777777" w:rsidTr="007B37C0">
        <w:trPr>
          <w:trHeight w:val="20"/>
        </w:trPr>
        <w:tc>
          <w:tcPr>
            <w:tcW w:w="3823" w:type="dxa"/>
            <w:tcMar>
              <w:top w:w="86" w:type="dxa"/>
              <w:left w:w="115" w:type="dxa"/>
              <w:bottom w:w="86" w:type="dxa"/>
              <w:right w:w="115" w:type="dxa"/>
            </w:tcMar>
            <w:vAlign w:val="center"/>
          </w:tcPr>
          <w:p w14:paraId="500BC0AD" w14:textId="77777777" w:rsidR="00CA73D1" w:rsidRPr="00665739" w:rsidRDefault="00CA73D1" w:rsidP="007B37C0">
            <w:pPr>
              <w:spacing w:before="0"/>
              <w:rPr>
                <w:sz w:val="22"/>
                <w:szCs w:val="22"/>
              </w:rPr>
            </w:pPr>
            <w:r w:rsidRPr="00665739">
              <w:rPr>
                <w:sz w:val="22"/>
                <w:szCs w:val="22"/>
              </w:rPr>
              <w:t xml:space="preserve">Submission Deadline </w:t>
            </w:r>
          </w:p>
        </w:tc>
        <w:tc>
          <w:tcPr>
            <w:tcW w:w="4807" w:type="dxa"/>
            <w:tcMar>
              <w:top w:w="86" w:type="dxa"/>
              <w:left w:w="115" w:type="dxa"/>
              <w:bottom w:w="86" w:type="dxa"/>
              <w:right w:w="115" w:type="dxa"/>
            </w:tcMar>
          </w:tcPr>
          <w:p w14:paraId="6DEB9871" w14:textId="77777777" w:rsidR="00CA73D1" w:rsidRPr="00665739" w:rsidRDefault="00CA73D1" w:rsidP="007B37C0">
            <w:pPr>
              <w:spacing w:before="0"/>
              <w:rPr>
                <w:sz w:val="22"/>
                <w:szCs w:val="22"/>
              </w:rPr>
            </w:pPr>
            <w:r w:rsidRPr="00665739">
              <w:rPr>
                <w:sz w:val="22"/>
                <w:szCs w:val="22"/>
              </w:rPr>
              <w:t>14 October 2021 at 14:00 pm (Kosovo Time).</w:t>
            </w:r>
          </w:p>
        </w:tc>
      </w:tr>
    </w:tbl>
    <w:p w14:paraId="0AB1453A" w14:textId="77777777" w:rsidR="00CA73D1" w:rsidRPr="00665739" w:rsidRDefault="00CA73D1" w:rsidP="00CA73D1">
      <w:pPr>
        <w:pStyle w:val="NoSpacing"/>
        <w:rPr>
          <w:sz w:val="22"/>
          <w:szCs w:val="22"/>
        </w:rPr>
      </w:pPr>
    </w:p>
    <w:p w14:paraId="4DB97CF7" w14:textId="77777777" w:rsidR="00CA73D1" w:rsidRPr="00665739" w:rsidRDefault="00CA73D1" w:rsidP="00CA73D1">
      <w:pPr>
        <w:spacing w:before="100" w:beforeAutospacing="1" w:after="100" w:afterAutospacing="1" w:line="240" w:lineRule="auto"/>
        <w:jc w:val="left"/>
        <w:rPr>
          <w:sz w:val="22"/>
          <w:szCs w:val="22"/>
        </w:rPr>
      </w:pPr>
      <w:r w:rsidRPr="00665739">
        <w:rPr>
          <w:sz w:val="22"/>
          <w:szCs w:val="22"/>
        </w:rPr>
        <w:t xml:space="preserve">The </w:t>
      </w:r>
      <w:bookmarkStart w:id="1" w:name="_Hlk82089566"/>
      <w:r w:rsidRPr="00665739">
        <w:rPr>
          <w:sz w:val="22"/>
          <w:szCs w:val="22"/>
        </w:rPr>
        <w:t xml:space="preserve">Millennium Foundation of Kosovo </w:t>
      </w:r>
      <w:bookmarkEnd w:id="1"/>
      <w:r w:rsidRPr="00665739">
        <w:rPr>
          <w:sz w:val="22"/>
          <w:szCs w:val="22"/>
        </w:rPr>
        <w:t>has received financing from the Millennium Challenge Corporation toward the cost of the Transparent and Accountable Governance Project: Government decision-making is often opaque, leading to distrust by the private sector and civil society, and high perceptions of corruption. Kosovo’s judiciary is one the country’s least trusted institutions. This project supports also the implementation of a case management information system to make judicial information publicly available, and intends to apply part of the proceeds toward payments under the contract for Procurement of Information Systems (Design, Supply and Installation) ICT Systems for Public Access to Judicial Information.</w:t>
      </w:r>
    </w:p>
    <w:p w14:paraId="5FFBF7B8" w14:textId="77777777" w:rsidR="00CA73D1" w:rsidRPr="00665739" w:rsidRDefault="00CA73D1" w:rsidP="00CA73D1">
      <w:pPr>
        <w:spacing w:before="100" w:beforeAutospacing="1" w:after="100" w:afterAutospacing="1" w:line="240" w:lineRule="auto"/>
        <w:jc w:val="left"/>
        <w:rPr>
          <w:sz w:val="22"/>
          <w:szCs w:val="22"/>
        </w:rPr>
      </w:pPr>
      <w:r w:rsidRPr="00665739">
        <w:rPr>
          <w:sz w:val="22"/>
          <w:szCs w:val="22"/>
        </w:rPr>
        <w:t>MCC’s funding is appropriated by the U.S. Congress and obligated to the compact up-front, with no incremental or partial funding. So, when a contract is signed with an MFK, money is already available to the MFK and, for most contracts, invoices are paid directly to Contractors/Consultants/Suppliers by the US Treasury.</w:t>
      </w:r>
    </w:p>
    <w:p w14:paraId="605B4341" w14:textId="77777777" w:rsidR="00CA73D1" w:rsidRPr="00665739" w:rsidRDefault="00CA73D1" w:rsidP="00CA73D1">
      <w:pPr>
        <w:spacing w:before="0" w:after="0"/>
        <w:jc w:val="left"/>
        <w:rPr>
          <w:sz w:val="22"/>
          <w:szCs w:val="22"/>
        </w:rPr>
      </w:pPr>
      <w:r w:rsidRPr="00665739">
        <w:rPr>
          <w:sz w:val="22"/>
          <w:szCs w:val="22"/>
        </w:rPr>
        <w:t xml:space="preserve">MFK now invites bids from eligible bidders for The Public Access to Judicial Information (PAJI) activity, implemented by the MFK, aims to support the Kosovo Judicial Council (KJC) by building upon assistance provided by USAID and Norway to implement a Case Management Information System (CMIS) and using that system to improve the administration of justice in Kosovo, transparency of the rule of law institutions, as well as but also support the Kosovo Judicial Council, </w:t>
      </w:r>
      <w:r w:rsidRPr="00665739">
        <w:rPr>
          <w:sz w:val="22"/>
          <w:szCs w:val="22"/>
        </w:rPr>
        <w:lastRenderedPageBreak/>
        <w:t>Kosovo Prosecutorial Council and the Ministry of Justice (MoJ) in improved communication and outreach, through the following sub-activities:</w:t>
      </w:r>
    </w:p>
    <w:p w14:paraId="283006A8" w14:textId="77777777" w:rsidR="00CA73D1" w:rsidRPr="00665739" w:rsidRDefault="00CA73D1" w:rsidP="00CA73D1">
      <w:pPr>
        <w:pStyle w:val="ListParagraph"/>
        <w:numPr>
          <w:ilvl w:val="0"/>
          <w:numId w:val="2"/>
        </w:numPr>
        <w:spacing w:before="0" w:after="0"/>
        <w:jc w:val="left"/>
        <w:rPr>
          <w:sz w:val="22"/>
          <w:szCs w:val="22"/>
        </w:rPr>
      </w:pPr>
      <w:r w:rsidRPr="00665739">
        <w:rPr>
          <w:sz w:val="22"/>
          <w:szCs w:val="22"/>
        </w:rPr>
        <w:t>Creating an Online Data Platform for the public to access statistical data generated by the case management information system, as well as enabling disaggregation and analysis of data by meaningful categories, such as gender, region, income level or ethnicity;</w:t>
      </w:r>
    </w:p>
    <w:p w14:paraId="557C200A" w14:textId="77777777" w:rsidR="00CA73D1" w:rsidRPr="00665739" w:rsidRDefault="00CA73D1" w:rsidP="00CA73D1">
      <w:pPr>
        <w:pStyle w:val="ListParagraph"/>
        <w:numPr>
          <w:ilvl w:val="0"/>
          <w:numId w:val="2"/>
        </w:numPr>
        <w:spacing w:before="0" w:after="0"/>
        <w:jc w:val="left"/>
        <w:rPr>
          <w:sz w:val="22"/>
          <w:szCs w:val="22"/>
        </w:rPr>
      </w:pPr>
      <w:r w:rsidRPr="00665739">
        <w:rPr>
          <w:sz w:val="22"/>
          <w:szCs w:val="22"/>
        </w:rPr>
        <w:t>Creating an online Case Tracking Mechanism for authorized public users to access their individual case information, case status and procedural actions within the judicial system.</w:t>
      </w:r>
    </w:p>
    <w:p w14:paraId="15E604A4" w14:textId="77777777" w:rsidR="00CA73D1" w:rsidRPr="00665739" w:rsidRDefault="00CA73D1" w:rsidP="00CA73D1">
      <w:pPr>
        <w:pStyle w:val="ListParagraph"/>
        <w:numPr>
          <w:ilvl w:val="0"/>
          <w:numId w:val="2"/>
        </w:numPr>
        <w:spacing w:before="0" w:after="0"/>
        <w:jc w:val="left"/>
        <w:rPr>
          <w:sz w:val="22"/>
          <w:szCs w:val="22"/>
        </w:rPr>
      </w:pPr>
      <w:r w:rsidRPr="00665739">
        <w:rPr>
          <w:sz w:val="22"/>
          <w:szCs w:val="22"/>
        </w:rPr>
        <w:t>Supporting the improvement of judicial decisions and their publication;</w:t>
      </w:r>
    </w:p>
    <w:p w14:paraId="344CB55C" w14:textId="77777777" w:rsidR="00CA73D1" w:rsidRPr="00665739" w:rsidRDefault="00CA73D1" w:rsidP="00CA73D1">
      <w:pPr>
        <w:pStyle w:val="ListParagraph"/>
        <w:numPr>
          <w:ilvl w:val="0"/>
          <w:numId w:val="2"/>
        </w:numPr>
        <w:spacing w:before="0" w:after="0"/>
        <w:jc w:val="left"/>
        <w:rPr>
          <w:sz w:val="22"/>
          <w:szCs w:val="22"/>
        </w:rPr>
      </w:pPr>
      <w:r w:rsidRPr="00665739">
        <w:rPr>
          <w:sz w:val="22"/>
          <w:szCs w:val="22"/>
        </w:rPr>
        <w:t>Supporting improvement of communication and outreach by the judiciary and other rule of law institutions to establish and maintain a constructive dialogue over judicial performance.</w:t>
      </w:r>
    </w:p>
    <w:p w14:paraId="7DD66395" w14:textId="77777777" w:rsidR="00CA73D1" w:rsidRPr="00665739" w:rsidRDefault="00CA73D1" w:rsidP="00CA73D1">
      <w:pPr>
        <w:spacing w:before="100" w:beforeAutospacing="1" w:after="100" w:afterAutospacing="1" w:line="240" w:lineRule="auto"/>
        <w:jc w:val="left"/>
        <w:rPr>
          <w:sz w:val="22"/>
          <w:szCs w:val="22"/>
        </w:rPr>
      </w:pPr>
      <w:r w:rsidRPr="00665739">
        <w:rPr>
          <w:sz w:val="22"/>
          <w:szCs w:val="22"/>
        </w:rPr>
        <w:t>Bidding will be conducted through the Competitive Bidding procedures as specified in the MCC Program Procurement Guidelines (PPG), and is open to all eligible bidders or consultants as defined in the PPG.</w:t>
      </w:r>
    </w:p>
    <w:p w14:paraId="24B7512D" w14:textId="77777777" w:rsidR="00CA73D1" w:rsidRPr="00665739" w:rsidRDefault="00CA73D1" w:rsidP="00CA73D1">
      <w:pPr>
        <w:spacing w:before="100" w:beforeAutospacing="1" w:after="100" w:afterAutospacing="1" w:line="240" w:lineRule="auto"/>
        <w:jc w:val="left"/>
        <w:rPr>
          <w:sz w:val="22"/>
          <w:szCs w:val="22"/>
        </w:rPr>
      </w:pPr>
      <w:r w:rsidRPr="00665739">
        <w:rPr>
          <w:sz w:val="22"/>
          <w:szCs w:val="22"/>
        </w:rPr>
        <w:t xml:space="preserve">A complete set of bidding documents including any clarifications, notices and/or addendums may be obtained by interested eligible consultants through the following website (Eventual clarifications or any changes to the bidding documents shall be published at the latest 5 days before the submission deadline on the link provided below):  </w:t>
      </w:r>
      <w:hyperlink r:id="rId6" w:history="1">
        <w:r w:rsidRPr="00665739">
          <w:rPr>
            <w:rStyle w:val="Hyperlink"/>
            <w:sz w:val="22"/>
            <w:szCs w:val="22"/>
          </w:rPr>
          <w:t>https://millenniumkosovo.org/procurment/procurement-of-information-systems-design-supply-and-installation-ict-systems-for-public-access-to-judicial-information-bd-cb-2021-014</w:t>
        </w:r>
      </w:hyperlink>
      <w:r w:rsidRPr="00665739">
        <w:rPr>
          <w:sz w:val="22"/>
          <w:szCs w:val="22"/>
        </w:rPr>
        <w:t xml:space="preserve"> </w:t>
      </w:r>
    </w:p>
    <w:p w14:paraId="27B2038A" w14:textId="77777777" w:rsidR="00CA73D1" w:rsidRPr="00665739" w:rsidRDefault="00CA73D1" w:rsidP="00CA73D1">
      <w:pPr>
        <w:spacing w:before="100" w:beforeAutospacing="1" w:after="100" w:afterAutospacing="1" w:line="240" w:lineRule="auto"/>
        <w:jc w:val="left"/>
        <w:rPr>
          <w:sz w:val="22"/>
          <w:szCs w:val="22"/>
        </w:rPr>
      </w:pPr>
      <w:r w:rsidRPr="00665739">
        <w:rPr>
          <w:sz w:val="22"/>
          <w:szCs w:val="22"/>
        </w:rPr>
        <w:t>Please note that only electronic applications submitted via the File Request Link (</w:t>
      </w:r>
      <w:proofErr w:type="spellStart"/>
      <w:r w:rsidRPr="00665739">
        <w:rPr>
          <w:sz w:val="22"/>
          <w:szCs w:val="22"/>
        </w:rPr>
        <w:t>dropbox</w:t>
      </w:r>
      <w:proofErr w:type="spellEnd"/>
      <w:r w:rsidRPr="00665739">
        <w:rPr>
          <w:sz w:val="22"/>
          <w:szCs w:val="22"/>
        </w:rPr>
        <w:t xml:space="preserve"> link) shall be accepted. Submissions by hard copy or by email are not acceptable and shall culminate in proposal rejection. The File link for submission of proposals is included in the Bidding document.</w:t>
      </w:r>
    </w:p>
    <w:p w14:paraId="733E96F4" w14:textId="77777777" w:rsidR="00CA73D1" w:rsidRPr="00665739" w:rsidRDefault="00CA73D1" w:rsidP="00CA73D1">
      <w:pPr>
        <w:spacing w:before="100" w:beforeAutospacing="1" w:after="100" w:afterAutospacing="1" w:line="240" w:lineRule="auto"/>
        <w:jc w:val="left"/>
        <w:rPr>
          <w:sz w:val="22"/>
          <w:szCs w:val="22"/>
        </w:rPr>
      </w:pPr>
      <w:r w:rsidRPr="00665739">
        <w:rPr>
          <w:sz w:val="22"/>
          <w:szCs w:val="22"/>
        </w:rPr>
        <w:t>Bids shall be submitted ONLY to the file request link provided in Bidding documents no later than 14 October 2021 at 14:00 pm (Kosovo Time). Only electronic submission will be permitted. Late applications will be rejected.</w:t>
      </w:r>
    </w:p>
    <w:p w14:paraId="4331F5F8" w14:textId="1050F32C" w:rsidR="00CA73D1" w:rsidRPr="00665739" w:rsidRDefault="00CA73D1" w:rsidP="00CA73D1">
      <w:pPr>
        <w:spacing w:before="100" w:beforeAutospacing="1" w:after="100" w:afterAutospacing="1" w:line="240" w:lineRule="auto"/>
        <w:jc w:val="left"/>
        <w:rPr>
          <w:sz w:val="22"/>
          <w:szCs w:val="22"/>
        </w:rPr>
      </w:pPr>
      <w:r w:rsidRPr="00665739">
        <w:rPr>
          <w:sz w:val="22"/>
          <w:szCs w:val="22"/>
        </w:rPr>
        <w:t xml:space="preserve">Bids will be publicly opened in the presence of the bidders’ designated representatives and anyone who chooses to attend at the link: </w:t>
      </w:r>
      <w:bookmarkStart w:id="2" w:name="_Hlk82161919"/>
      <w:r w:rsidR="002D60E7">
        <w:fldChar w:fldCharType="begin"/>
      </w:r>
      <w:r w:rsidR="002D60E7">
        <w:instrText xml:space="preserve"> HYPERLINK "</w:instrText>
      </w:r>
      <w:r w:rsidR="002D60E7" w:rsidRPr="002D60E7">
        <w:instrText>https://us02web.zoom.us/j/87845396817</w:instrText>
      </w:r>
      <w:r w:rsidR="002D60E7">
        <w:instrText xml:space="preserve">" </w:instrText>
      </w:r>
      <w:r w:rsidR="002D60E7">
        <w:fldChar w:fldCharType="separate"/>
      </w:r>
      <w:r w:rsidR="002D60E7" w:rsidRPr="00AE6543">
        <w:rPr>
          <w:rStyle w:val="Hyperlink"/>
        </w:rPr>
        <w:t>https://us02web.zoom.us/j/87845396817</w:t>
      </w:r>
      <w:r w:rsidR="002D60E7">
        <w:fldChar w:fldCharType="end"/>
      </w:r>
      <w:r w:rsidR="002D60E7">
        <w:t xml:space="preserve"> </w:t>
      </w:r>
      <w:r w:rsidRPr="00665739">
        <w:rPr>
          <w:sz w:val="22"/>
          <w:szCs w:val="22"/>
        </w:rPr>
        <w:t xml:space="preserve">on </w:t>
      </w:r>
      <w:r w:rsidR="002D60E7">
        <w:rPr>
          <w:sz w:val="22"/>
          <w:szCs w:val="22"/>
        </w:rPr>
        <w:t>14</w:t>
      </w:r>
      <w:r w:rsidRPr="00665739">
        <w:rPr>
          <w:sz w:val="22"/>
          <w:szCs w:val="22"/>
        </w:rPr>
        <w:t xml:space="preserve"> </w:t>
      </w:r>
      <w:r w:rsidR="002D60E7">
        <w:rPr>
          <w:sz w:val="22"/>
          <w:szCs w:val="22"/>
        </w:rPr>
        <w:t>October</w:t>
      </w:r>
      <w:r w:rsidRPr="00665739">
        <w:rPr>
          <w:sz w:val="22"/>
          <w:szCs w:val="22"/>
        </w:rPr>
        <w:t xml:space="preserve"> 2021</w:t>
      </w:r>
      <w:r w:rsidR="002D60E7">
        <w:rPr>
          <w:sz w:val="22"/>
          <w:szCs w:val="22"/>
        </w:rPr>
        <w:t xml:space="preserve"> </w:t>
      </w:r>
      <w:bookmarkEnd w:id="2"/>
      <w:r w:rsidRPr="00665739">
        <w:rPr>
          <w:sz w:val="22"/>
          <w:szCs w:val="22"/>
        </w:rPr>
        <w:t>14:30 pm (Kosovo Time). All bids will be accompanied by a Bid Security as of US$ 30,000.00 (thirty thousand United States Dollar) or Purchaser’s local currency equivalent.</w:t>
      </w:r>
    </w:p>
    <w:p w14:paraId="6EB5F126" w14:textId="77777777" w:rsidR="00CA73D1" w:rsidRPr="00665739" w:rsidRDefault="00CA73D1" w:rsidP="00CA73D1">
      <w:pPr>
        <w:pStyle w:val="NormalWeb"/>
        <w:spacing w:before="0" w:beforeAutospacing="0" w:after="0" w:afterAutospacing="0"/>
        <w:ind w:left="0" w:firstLine="0"/>
        <w:rPr>
          <w:rFonts w:ascii="Times New Roman" w:eastAsia="SimSun" w:hAnsi="Times New Roman" w:cs="Times New Roman"/>
          <w:sz w:val="22"/>
          <w:szCs w:val="22"/>
          <w:lang w:eastAsia="zh-CN"/>
        </w:rPr>
      </w:pPr>
    </w:p>
    <w:p w14:paraId="54F138A3" w14:textId="77777777" w:rsidR="00CA73D1" w:rsidRPr="00665739" w:rsidRDefault="00CA73D1" w:rsidP="00CA73D1">
      <w:pPr>
        <w:pStyle w:val="NormalWeb"/>
        <w:spacing w:before="0" w:beforeAutospacing="0" w:after="0" w:afterAutospacing="0"/>
        <w:ind w:left="0" w:firstLine="0"/>
        <w:rPr>
          <w:rFonts w:ascii="Times New Roman" w:eastAsia="SimSun" w:hAnsi="Times New Roman" w:cs="Times New Roman"/>
          <w:sz w:val="22"/>
          <w:szCs w:val="22"/>
          <w:lang w:eastAsia="zh-CN"/>
        </w:rPr>
      </w:pPr>
      <w:r w:rsidRPr="00665739">
        <w:rPr>
          <w:rFonts w:ascii="Times New Roman" w:eastAsia="SimSun" w:hAnsi="Times New Roman" w:cs="Times New Roman"/>
          <w:sz w:val="22"/>
          <w:szCs w:val="22"/>
          <w:lang w:eastAsia="zh-CN"/>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337"/>
        <w:gridCol w:w="6594"/>
      </w:tblGrid>
      <w:tr w:rsidR="00CA73D1" w:rsidRPr="00665739" w14:paraId="42F9392F" w14:textId="77777777" w:rsidTr="007B37C0">
        <w:trPr>
          <w:trHeight w:val="57"/>
        </w:trPr>
        <w:tc>
          <w:tcPr>
            <w:tcW w:w="0" w:type="auto"/>
          </w:tcPr>
          <w:p w14:paraId="4516AC8A" w14:textId="77777777" w:rsidR="00CA73D1" w:rsidRPr="00665739" w:rsidRDefault="00CA73D1" w:rsidP="007B37C0">
            <w:pPr>
              <w:suppressAutoHyphens/>
              <w:spacing w:before="0"/>
              <w:rPr>
                <w:rFonts w:eastAsiaTheme="minorHAnsi"/>
                <w:spacing w:val="-2"/>
                <w:sz w:val="22"/>
                <w:szCs w:val="22"/>
                <w:lang w:eastAsia="en-US"/>
              </w:rPr>
            </w:pPr>
            <w:r w:rsidRPr="00665739">
              <w:rPr>
                <w:rFonts w:eastAsiaTheme="minorHAnsi"/>
                <w:spacing w:val="-2"/>
                <w:sz w:val="22"/>
                <w:szCs w:val="22"/>
                <w:lang w:eastAsia="en-US"/>
              </w:rPr>
              <w:t>The address referred to above is:</w:t>
            </w:r>
          </w:p>
        </w:tc>
        <w:tc>
          <w:tcPr>
            <w:tcW w:w="0" w:type="auto"/>
          </w:tcPr>
          <w:p w14:paraId="11E6167B" w14:textId="77777777" w:rsidR="00CA73D1" w:rsidRPr="00665739" w:rsidRDefault="00CA73D1" w:rsidP="007B37C0">
            <w:pPr>
              <w:suppressAutoHyphens/>
              <w:spacing w:before="0"/>
              <w:rPr>
                <w:rFonts w:eastAsiaTheme="minorHAnsi"/>
                <w:spacing w:val="-2"/>
                <w:sz w:val="22"/>
                <w:szCs w:val="22"/>
                <w:lang w:eastAsia="en-US"/>
              </w:rPr>
            </w:pPr>
            <w:r w:rsidRPr="00665739">
              <w:rPr>
                <w:rFonts w:eastAsiaTheme="minorHAnsi"/>
                <w:spacing w:val="-2"/>
                <w:sz w:val="22"/>
                <w:szCs w:val="22"/>
                <w:lang w:eastAsia="en-US"/>
              </w:rPr>
              <w:t>Str. “</w:t>
            </w:r>
            <w:proofErr w:type="spellStart"/>
            <w:r w:rsidRPr="00665739">
              <w:rPr>
                <w:rFonts w:eastAsiaTheme="minorHAnsi"/>
                <w:spacing w:val="-2"/>
                <w:sz w:val="22"/>
                <w:szCs w:val="22"/>
                <w:lang w:eastAsia="en-US"/>
              </w:rPr>
              <w:t>Migjeni</w:t>
            </w:r>
            <w:proofErr w:type="spellEnd"/>
            <w:r w:rsidRPr="00665739">
              <w:rPr>
                <w:rFonts w:eastAsiaTheme="minorHAnsi"/>
                <w:spacing w:val="-2"/>
                <w:sz w:val="22"/>
                <w:szCs w:val="22"/>
                <w:lang w:eastAsia="en-US"/>
              </w:rPr>
              <w:t>” no. 21 (ex-Bank of Ljubljana, floor IX), Postal Code:10000 Prishtina, Kosovo</w:t>
            </w:r>
            <w:r w:rsidRPr="00665739" w:rsidDel="00A700D1">
              <w:rPr>
                <w:rFonts w:eastAsiaTheme="minorHAnsi"/>
                <w:spacing w:val="-2"/>
                <w:sz w:val="22"/>
                <w:szCs w:val="22"/>
                <w:lang w:eastAsia="en-US"/>
              </w:rPr>
              <w:t xml:space="preserve"> </w:t>
            </w:r>
          </w:p>
        </w:tc>
      </w:tr>
      <w:tr w:rsidR="00CA73D1" w:rsidRPr="00665739" w14:paraId="7A2C8B9A" w14:textId="77777777" w:rsidTr="007B37C0">
        <w:trPr>
          <w:trHeight w:val="57"/>
        </w:trPr>
        <w:tc>
          <w:tcPr>
            <w:tcW w:w="0" w:type="auto"/>
          </w:tcPr>
          <w:p w14:paraId="6E13AB5E" w14:textId="77777777" w:rsidR="00CA73D1" w:rsidRPr="00665739" w:rsidRDefault="00CA73D1" w:rsidP="002D60E7">
            <w:pPr>
              <w:suppressAutoHyphens/>
              <w:spacing w:before="0" w:after="0"/>
              <w:rPr>
                <w:rFonts w:eastAsiaTheme="minorHAnsi"/>
                <w:spacing w:val="-2"/>
                <w:sz w:val="22"/>
                <w:szCs w:val="22"/>
                <w:lang w:eastAsia="en-US"/>
              </w:rPr>
            </w:pPr>
            <w:r w:rsidRPr="00665739">
              <w:rPr>
                <w:rFonts w:eastAsiaTheme="minorHAnsi"/>
                <w:spacing w:val="-2"/>
                <w:sz w:val="22"/>
                <w:szCs w:val="22"/>
                <w:lang w:eastAsia="en-US"/>
              </w:rPr>
              <w:t xml:space="preserve">Attn: </w:t>
            </w:r>
          </w:p>
        </w:tc>
        <w:tc>
          <w:tcPr>
            <w:tcW w:w="0" w:type="auto"/>
          </w:tcPr>
          <w:p w14:paraId="03A2398D" w14:textId="77777777" w:rsidR="00CA73D1" w:rsidRPr="00665739" w:rsidRDefault="00CA73D1" w:rsidP="002D60E7">
            <w:pPr>
              <w:suppressAutoHyphens/>
              <w:spacing w:before="0" w:after="0"/>
              <w:rPr>
                <w:rFonts w:eastAsiaTheme="minorHAnsi"/>
                <w:spacing w:val="-2"/>
                <w:sz w:val="22"/>
                <w:szCs w:val="22"/>
                <w:lang w:eastAsia="en-US"/>
              </w:rPr>
            </w:pPr>
            <w:r w:rsidRPr="00665739">
              <w:rPr>
                <w:rFonts w:eastAsiaTheme="minorHAnsi"/>
                <w:spacing w:val="-2"/>
                <w:sz w:val="22"/>
                <w:szCs w:val="22"/>
                <w:lang w:eastAsia="en-US"/>
              </w:rPr>
              <w:t xml:space="preserve">Arton </w:t>
            </w:r>
            <w:proofErr w:type="spellStart"/>
            <w:r w:rsidRPr="00665739">
              <w:rPr>
                <w:rFonts w:eastAsiaTheme="minorHAnsi"/>
                <w:spacing w:val="-2"/>
                <w:sz w:val="22"/>
                <w:szCs w:val="22"/>
                <w:lang w:eastAsia="en-US"/>
              </w:rPr>
              <w:t>Çitaku</w:t>
            </w:r>
            <w:proofErr w:type="spellEnd"/>
          </w:p>
          <w:p w14:paraId="01868834" w14:textId="77777777" w:rsidR="00CA73D1" w:rsidRPr="00665739" w:rsidRDefault="00CA73D1" w:rsidP="002D60E7">
            <w:pPr>
              <w:suppressAutoHyphens/>
              <w:spacing w:before="0" w:after="0"/>
              <w:rPr>
                <w:rFonts w:eastAsiaTheme="minorHAnsi"/>
                <w:spacing w:val="-2"/>
                <w:sz w:val="22"/>
                <w:szCs w:val="22"/>
                <w:lang w:eastAsia="en-US"/>
              </w:rPr>
            </w:pPr>
            <w:r w:rsidRPr="00665739">
              <w:rPr>
                <w:rFonts w:eastAsiaTheme="minorHAnsi"/>
                <w:spacing w:val="-2"/>
                <w:sz w:val="22"/>
                <w:szCs w:val="22"/>
                <w:lang w:eastAsia="en-US"/>
              </w:rPr>
              <w:t xml:space="preserve">MFK Procurement Manager </w:t>
            </w:r>
          </w:p>
          <w:p w14:paraId="2123EC4A" w14:textId="77777777" w:rsidR="00CA73D1" w:rsidRPr="00665739" w:rsidRDefault="00CA73D1" w:rsidP="002D60E7">
            <w:pPr>
              <w:suppressAutoHyphens/>
              <w:spacing w:before="0" w:after="0"/>
              <w:rPr>
                <w:rFonts w:eastAsiaTheme="minorHAnsi"/>
                <w:spacing w:val="-2"/>
                <w:sz w:val="22"/>
                <w:szCs w:val="22"/>
                <w:lang w:eastAsia="en-US"/>
              </w:rPr>
            </w:pPr>
            <w:r w:rsidRPr="00665739">
              <w:rPr>
                <w:rFonts w:eastAsiaTheme="minorHAnsi"/>
                <w:spacing w:val="-2"/>
                <w:sz w:val="22"/>
                <w:szCs w:val="22"/>
                <w:lang w:eastAsia="en-US"/>
              </w:rPr>
              <w:t>Str. “</w:t>
            </w:r>
            <w:proofErr w:type="spellStart"/>
            <w:r w:rsidRPr="00665739">
              <w:rPr>
                <w:rFonts w:eastAsiaTheme="minorHAnsi"/>
                <w:spacing w:val="-2"/>
                <w:sz w:val="22"/>
                <w:szCs w:val="22"/>
                <w:lang w:eastAsia="en-US"/>
              </w:rPr>
              <w:t>Migjeni</w:t>
            </w:r>
            <w:proofErr w:type="spellEnd"/>
            <w:r w:rsidRPr="00665739">
              <w:rPr>
                <w:rFonts w:eastAsiaTheme="minorHAnsi"/>
                <w:spacing w:val="-2"/>
                <w:sz w:val="22"/>
                <w:szCs w:val="22"/>
                <w:lang w:eastAsia="en-US"/>
              </w:rPr>
              <w:t>” no. 21 (ex-Bank of Ljubljana, floor IX), Postal Code:10000 Prishtina, Kosovo</w:t>
            </w:r>
            <w:r w:rsidRPr="00665739" w:rsidDel="00A700D1">
              <w:rPr>
                <w:rFonts w:eastAsiaTheme="minorHAnsi"/>
                <w:spacing w:val="-2"/>
                <w:sz w:val="22"/>
                <w:szCs w:val="22"/>
                <w:lang w:eastAsia="en-US"/>
              </w:rPr>
              <w:t xml:space="preserve"> </w:t>
            </w:r>
          </w:p>
        </w:tc>
      </w:tr>
      <w:tr w:rsidR="00CA73D1" w:rsidRPr="00665739" w14:paraId="15EF97BF" w14:textId="77777777" w:rsidTr="007B37C0">
        <w:trPr>
          <w:trHeight w:val="57"/>
        </w:trPr>
        <w:tc>
          <w:tcPr>
            <w:tcW w:w="0" w:type="auto"/>
          </w:tcPr>
          <w:p w14:paraId="19F48B8C" w14:textId="77777777" w:rsidR="00CA73D1" w:rsidRPr="00665739" w:rsidRDefault="00CA73D1" w:rsidP="007B37C0">
            <w:pPr>
              <w:suppressAutoHyphens/>
              <w:spacing w:before="0"/>
              <w:rPr>
                <w:rFonts w:eastAsiaTheme="minorHAnsi"/>
                <w:spacing w:val="-2"/>
                <w:sz w:val="22"/>
                <w:szCs w:val="22"/>
                <w:lang w:eastAsia="en-US"/>
              </w:rPr>
            </w:pPr>
            <w:r w:rsidRPr="00665739">
              <w:rPr>
                <w:rFonts w:eastAsiaTheme="minorHAnsi"/>
                <w:spacing w:val="-2"/>
                <w:sz w:val="22"/>
                <w:szCs w:val="22"/>
                <w:lang w:eastAsia="en-US"/>
              </w:rPr>
              <w:t>Tel:</w:t>
            </w:r>
          </w:p>
        </w:tc>
        <w:tc>
          <w:tcPr>
            <w:tcW w:w="0" w:type="auto"/>
          </w:tcPr>
          <w:p w14:paraId="559A27A4" w14:textId="77777777" w:rsidR="00CA73D1" w:rsidRPr="00665739" w:rsidRDefault="00CA73D1" w:rsidP="007B37C0">
            <w:pPr>
              <w:suppressAutoHyphens/>
              <w:spacing w:before="0"/>
              <w:rPr>
                <w:rFonts w:eastAsiaTheme="minorHAnsi"/>
                <w:spacing w:val="-2"/>
                <w:sz w:val="22"/>
                <w:szCs w:val="22"/>
                <w:lang w:eastAsia="en-US"/>
              </w:rPr>
            </w:pPr>
            <w:r w:rsidRPr="00665739">
              <w:rPr>
                <w:rFonts w:eastAsiaTheme="minorHAnsi"/>
                <w:spacing w:val="-2"/>
                <w:sz w:val="22"/>
                <w:szCs w:val="22"/>
                <w:lang w:eastAsia="en-US"/>
              </w:rPr>
              <w:t>00 383 38 752 110</w:t>
            </w:r>
          </w:p>
        </w:tc>
      </w:tr>
      <w:tr w:rsidR="00CA73D1" w:rsidRPr="00665739" w14:paraId="7970FBDD" w14:textId="77777777" w:rsidTr="007B37C0">
        <w:trPr>
          <w:trHeight w:val="57"/>
        </w:trPr>
        <w:tc>
          <w:tcPr>
            <w:tcW w:w="0" w:type="auto"/>
          </w:tcPr>
          <w:p w14:paraId="239D33B5" w14:textId="77777777" w:rsidR="00CA73D1" w:rsidRPr="00665739" w:rsidRDefault="00CA73D1" w:rsidP="007B37C0">
            <w:pPr>
              <w:suppressAutoHyphens/>
              <w:spacing w:before="0"/>
              <w:rPr>
                <w:rFonts w:eastAsiaTheme="minorHAnsi"/>
                <w:spacing w:val="-2"/>
                <w:sz w:val="22"/>
                <w:szCs w:val="22"/>
                <w:lang w:eastAsia="en-US"/>
              </w:rPr>
            </w:pPr>
            <w:r w:rsidRPr="00665739">
              <w:rPr>
                <w:rFonts w:eastAsiaTheme="minorHAnsi"/>
                <w:spacing w:val="-2"/>
                <w:sz w:val="22"/>
                <w:szCs w:val="22"/>
                <w:lang w:eastAsia="en-US"/>
              </w:rPr>
              <w:t>E-mail:</w:t>
            </w:r>
          </w:p>
        </w:tc>
        <w:tc>
          <w:tcPr>
            <w:tcW w:w="0" w:type="auto"/>
          </w:tcPr>
          <w:p w14:paraId="60D57EDE" w14:textId="77777777" w:rsidR="00CA73D1" w:rsidRPr="00665739" w:rsidRDefault="004C1753" w:rsidP="007B37C0">
            <w:pPr>
              <w:suppressAutoHyphens/>
              <w:spacing w:before="0"/>
              <w:rPr>
                <w:rFonts w:eastAsiaTheme="minorHAnsi"/>
                <w:spacing w:val="-2"/>
                <w:sz w:val="22"/>
                <w:szCs w:val="22"/>
                <w:lang w:eastAsia="en-US"/>
              </w:rPr>
            </w:pPr>
            <w:hyperlink r:id="rId7" w:history="1">
              <w:r w:rsidR="00CA73D1" w:rsidRPr="00665739">
                <w:rPr>
                  <w:rStyle w:val="Hyperlink"/>
                  <w:rFonts w:eastAsiaTheme="minorHAnsi"/>
                  <w:spacing w:val="-2"/>
                  <w:sz w:val="22"/>
                  <w:szCs w:val="22"/>
                  <w:lang w:eastAsia="en-US"/>
                </w:rPr>
                <w:t>procurement@millenniumkosovo.org</w:t>
              </w:r>
            </w:hyperlink>
            <w:r w:rsidR="00CA73D1" w:rsidRPr="00665739">
              <w:rPr>
                <w:rFonts w:eastAsiaTheme="minorHAnsi"/>
                <w:spacing w:val="-2"/>
                <w:sz w:val="22"/>
                <w:szCs w:val="22"/>
                <w:lang w:eastAsia="en-US"/>
              </w:rPr>
              <w:t xml:space="preserve"> </w:t>
            </w:r>
          </w:p>
        </w:tc>
      </w:tr>
      <w:tr w:rsidR="00CA73D1" w:rsidRPr="00665739" w14:paraId="1BF1D920" w14:textId="77777777" w:rsidTr="002D60E7">
        <w:trPr>
          <w:trHeight w:val="261"/>
        </w:trPr>
        <w:tc>
          <w:tcPr>
            <w:tcW w:w="0" w:type="auto"/>
          </w:tcPr>
          <w:p w14:paraId="7E7B38BB" w14:textId="77777777" w:rsidR="00CA73D1" w:rsidRPr="00665739" w:rsidRDefault="00CA73D1" w:rsidP="007B37C0">
            <w:pPr>
              <w:suppressAutoHyphens/>
              <w:spacing w:before="0"/>
              <w:rPr>
                <w:rFonts w:eastAsiaTheme="minorHAnsi"/>
                <w:spacing w:val="-2"/>
                <w:sz w:val="22"/>
                <w:szCs w:val="22"/>
                <w:lang w:eastAsia="en-US"/>
              </w:rPr>
            </w:pPr>
            <w:r w:rsidRPr="00665739">
              <w:rPr>
                <w:rFonts w:eastAsiaTheme="minorHAnsi"/>
                <w:spacing w:val="-2"/>
                <w:sz w:val="22"/>
                <w:szCs w:val="22"/>
                <w:lang w:eastAsia="en-US"/>
              </w:rPr>
              <w:t>Website:</w:t>
            </w:r>
          </w:p>
        </w:tc>
        <w:tc>
          <w:tcPr>
            <w:tcW w:w="0" w:type="auto"/>
          </w:tcPr>
          <w:p w14:paraId="583C4A0E" w14:textId="77777777" w:rsidR="00CA73D1" w:rsidRPr="00665739" w:rsidRDefault="004C1753" w:rsidP="007B37C0">
            <w:pPr>
              <w:suppressAutoHyphens/>
              <w:spacing w:before="0"/>
              <w:rPr>
                <w:rFonts w:eastAsiaTheme="minorHAnsi"/>
                <w:spacing w:val="-2"/>
                <w:sz w:val="22"/>
                <w:szCs w:val="22"/>
                <w:lang w:eastAsia="en-US"/>
              </w:rPr>
            </w:pPr>
            <w:hyperlink r:id="rId8" w:history="1">
              <w:r w:rsidR="00CA73D1" w:rsidRPr="00665739">
                <w:rPr>
                  <w:rFonts w:eastAsiaTheme="minorHAnsi"/>
                  <w:spacing w:val="-2"/>
                  <w:sz w:val="22"/>
                  <w:szCs w:val="22"/>
                  <w:lang w:eastAsia="en-US"/>
                </w:rPr>
                <w:t>https://millenniumkosovo.org</w:t>
              </w:r>
            </w:hyperlink>
            <w:r w:rsidR="00CA73D1" w:rsidRPr="00665739">
              <w:rPr>
                <w:rFonts w:eastAsiaTheme="minorHAnsi"/>
                <w:spacing w:val="-2"/>
                <w:sz w:val="22"/>
                <w:szCs w:val="22"/>
                <w:lang w:eastAsia="en-US"/>
              </w:rPr>
              <w:t xml:space="preserve">  </w:t>
            </w:r>
          </w:p>
        </w:tc>
      </w:tr>
    </w:tbl>
    <w:p w14:paraId="62DD7E8E" w14:textId="77777777" w:rsidR="002D60E7" w:rsidRPr="002D60E7" w:rsidRDefault="002D60E7" w:rsidP="002D60E7"/>
    <w:sectPr w:rsidR="002D60E7" w:rsidRPr="002D60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62CA"/>
    <w:multiLevelType w:val="multilevel"/>
    <w:tmpl w:val="70C47E5A"/>
    <w:lvl w:ilvl="0">
      <w:start w:val="1"/>
      <w:numFmt w:val="lowerLetter"/>
      <w:pStyle w:val="ListParagraph"/>
      <w:lvlText w:val="(%1)"/>
      <w:lvlJc w:val="left"/>
      <w:pPr>
        <w:ind w:left="1352" w:hanging="360"/>
      </w:pPr>
      <w:rPr>
        <w:b w:val="0"/>
        <w:i w:val="0"/>
        <w:smallCaps w:val="0"/>
        <w:strike w:val="0"/>
        <w:color w:val="000000"/>
        <w:u w:val="none"/>
        <w:vertAlign w:val="baseline"/>
      </w:rPr>
    </w:lvl>
    <w:lvl w:ilvl="1">
      <w:start w:val="1"/>
      <w:numFmt w:val="lowerRoman"/>
      <w:lvlText w:val="(%2)"/>
      <w:lvlJc w:val="right"/>
      <w:pPr>
        <w:ind w:left="2271" w:hanging="360"/>
      </w:pPr>
    </w:lvl>
    <w:lvl w:ilvl="2">
      <w:start w:val="1"/>
      <w:numFmt w:val="lowerRoman"/>
      <w:lvlText w:val="%3."/>
      <w:lvlJc w:val="right"/>
      <w:pPr>
        <w:ind w:left="2991" w:hanging="180"/>
      </w:pPr>
    </w:lvl>
    <w:lvl w:ilvl="3">
      <w:start w:val="1"/>
      <w:numFmt w:val="decimal"/>
      <w:lvlText w:val="%4."/>
      <w:lvlJc w:val="left"/>
      <w:pPr>
        <w:ind w:left="3711" w:hanging="360"/>
      </w:pPr>
    </w:lvl>
    <w:lvl w:ilvl="4">
      <w:start w:val="1"/>
      <w:numFmt w:val="lowerLetter"/>
      <w:lvlText w:val="%5."/>
      <w:lvlJc w:val="left"/>
      <w:pPr>
        <w:ind w:left="4431" w:hanging="360"/>
      </w:pPr>
    </w:lvl>
    <w:lvl w:ilvl="5">
      <w:start w:val="1"/>
      <w:numFmt w:val="lowerRoman"/>
      <w:lvlText w:val="%6."/>
      <w:lvlJc w:val="right"/>
      <w:pPr>
        <w:ind w:left="5151" w:hanging="180"/>
      </w:pPr>
    </w:lvl>
    <w:lvl w:ilvl="6">
      <w:start w:val="1"/>
      <w:numFmt w:val="decimal"/>
      <w:lvlText w:val="%7."/>
      <w:lvlJc w:val="left"/>
      <w:pPr>
        <w:ind w:left="5871" w:hanging="360"/>
      </w:pPr>
    </w:lvl>
    <w:lvl w:ilvl="7">
      <w:start w:val="1"/>
      <w:numFmt w:val="lowerLetter"/>
      <w:lvlText w:val="%8."/>
      <w:lvlJc w:val="left"/>
      <w:pPr>
        <w:ind w:left="6591" w:hanging="360"/>
      </w:pPr>
    </w:lvl>
    <w:lvl w:ilvl="8">
      <w:start w:val="1"/>
      <w:numFmt w:val="lowerRoman"/>
      <w:lvlText w:val="%9."/>
      <w:lvlJc w:val="right"/>
      <w:pPr>
        <w:ind w:left="7311" w:hanging="180"/>
      </w:pPr>
    </w:lvl>
  </w:abstractNum>
  <w:abstractNum w:abstractNumId="1" w15:restartNumberingAfterBreak="0">
    <w:nsid w:val="7CC01329"/>
    <w:multiLevelType w:val="hybridMultilevel"/>
    <w:tmpl w:val="7C7C3A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jUysLQ0MzGxNLdQ0lEKTi0uzszPAykwrAUAvmRS+ywAAAA="/>
  </w:docVars>
  <w:rsids>
    <w:rsidRoot w:val="00CA73D1"/>
    <w:rsid w:val="000B2212"/>
    <w:rsid w:val="0021783E"/>
    <w:rsid w:val="002D60E7"/>
    <w:rsid w:val="00494729"/>
    <w:rsid w:val="004C1753"/>
    <w:rsid w:val="00620832"/>
    <w:rsid w:val="006716DC"/>
    <w:rsid w:val="00704648"/>
    <w:rsid w:val="00957CAB"/>
    <w:rsid w:val="00965D42"/>
    <w:rsid w:val="00C15DB8"/>
    <w:rsid w:val="00CA73D1"/>
    <w:rsid w:val="00DE7C0D"/>
    <w:rsid w:val="00DF0CF9"/>
    <w:rsid w:val="00F37337"/>
    <w:rsid w:val="00F41E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7E8D"/>
  <w15:chartTrackingRefBased/>
  <w15:docId w15:val="{FB788CBF-8CAB-4DFD-961C-0D0C2216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3D1"/>
    <w:pPr>
      <w:spacing w:before="120" w:after="120" w:line="276" w:lineRule="auto"/>
      <w:jc w:val="both"/>
    </w:pPr>
    <w:rPr>
      <w:rFonts w:ascii="Times New Roman" w:eastAsia="Times New Roman" w:hAnsi="Times New Roman" w:cs="Times New Roman"/>
      <w:sz w:val="24"/>
      <w:szCs w:val="24"/>
      <w:lang w:val="en-US"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basedOn w:val="DefaultParagraphFont"/>
    <w:uiPriority w:val="99"/>
    <w:unhideWhenUsed/>
    <w:qFormat/>
    <w:rsid w:val="00CA73D1"/>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qFormat/>
    <w:rsid w:val="00CA73D1"/>
    <w:pPr>
      <w:numPr>
        <w:numId w:val="1"/>
      </w:numPr>
      <w:spacing w:line="240" w:lineRule="auto"/>
      <w:contextualSpacing/>
    </w:pPr>
    <w:rPr>
      <w:lang w:val="de-DE"/>
    </w:rPr>
  </w:style>
  <w:style w:type="table" w:styleId="TableGrid">
    <w:name w:val="Table Grid"/>
    <w:basedOn w:val="TableNormal"/>
    <w:uiPriority w:val="39"/>
    <w:rsid w:val="00CA73D1"/>
    <w:pPr>
      <w:spacing w:before="120" w:after="0" w:line="240" w:lineRule="auto"/>
      <w:jc w:val="both"/>
    </w:pPr>
    <w:rPr>
      <w:rFonts w:ascii="Times New Roman" w:eastAsia="Times New Roman" w:hAnsi="Times New Roman" w:cs="Times New Roman"/>
      <w:sz w:val="20"/>
      <w:szCs w:val="20"/>
      <w:lang w:val="en-US"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qFormat/>
    <w:rsid w:val="00CA73D1"/>
    <w:rPr>
      <w:rFonts w:ascii="Times New Roman" w:eastAsia="Times New Roman" w:hAnsi="Times New Roman" w:cs="Times New Roman"/>
      <w:sz w:val="24"/>
      <w:szCs w:val="24"/>
      <w:lang w:val="de-DE" w:eastAsia="sq-AL"/>
    </w:rPr>
  </w:style>
  <w:style w:type="paragraph" w:styleId="NoSpacing">
    <w:name w:val="No Spacing"/>
    <w:link w:val="NoSpacingChar"/>
    <w:uiPriority w:val="1"/>
    <w:qFormat/>
    <w:rsid w:val="00CA73D1"/>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customStyle="1" w:styleId="NoSpacingChar">
    <w:name w:val="No Spacing Char"/>
    <w:basedOn w:val="DefaultParagraphFont"/>
    <w:link w:val="NoSpacing"/>
    <w:uiPriority w:val="1"/>
    <w:rsid w:val="00CA73D1"/>
    <w:rPr>
      <w:rFonts w:ascii="Times New Roman" w:eastAsia="SimSun" w:hAnsi="Times New Roman" w:cs="Times New Roman"/>
      <w:sz w:val="24"/>
      <w:szCs w:val="24"/>
      <w:lang w:val="en-US" w:eastAsia="zh-CN"/>
    </w:rPr>
  </w:style>
  <w:style w:type="paragraph" w:styleId="NormalWeb">
    <w:name w:val="Normal (Web)"/>
    <w:basedOn w:val="Normal"/>
    <w:link w:val="NormalWebChar"/>
    <w:uiPriority w:val="99"/>
    <w:rsid w:val="00CA73D1"/>
    <w:pPr>
      <w:spacing w:before="100" w:beforeAutospacing="1" w:after="100" w:afterAutospacing="1" w:line="240" w:lineRule="auto"/>
      <w:ind w:left="1440" w:hanging="720"/>
      <w:jc w:val="left"/>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CA73D1"/>
    <w:rPr>
      <w:rFonts w:ascii="Arial Unicode MS" w:eastAsia="Arial Unicode MS" w:hAnsi="Arial Unicode MS" w:cs="Arial Unicode MS"/>
      <w:sz w:val="24"/>
      <w:szCs w:val="24"/>
      <w:lang w:val="en-US"/>
    </w:rPr>
  </w:style>
  <w:style w:type="character" w:styleId="UnresolvedMention">
    <w:name w:val="Unresolved Mention"/>
    <w:basedOn w:val="DefaultParagraphFont"/>
    <w:uiPriority w:val="99"/>
    <w:semiHidden/>
    <w:unhideWhenUsed/>
    <w:rsid w:val="002D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enniumkosovo.org" TargetMode="External"/><Relationship Id="rId3" Type="http://schemas.openxmlformats.org/officeDocument/2006/relationships/settings" Target="settings.xml"/><Relationship Id="rId7" Type="http://schemas.openxmlformats.org/officeDocument/2006/relationships/hyperlink" Target="mailto:procurement@millenniumkos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enniumkosovo.org/procurment/procurement-of-information-systems-design-supply-and-installation-ict-systems-for-public-access-to-judicial-information-bd-cb-2021-0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Merolind Osmanaj</dc:creator>
  <cp:keywords/>
  <dc:description/>
  <cp:lastModifiedBy>Merolind Osmanaj</cp:lastModifiedBy>
  <cp:revision>2</cp:revision>
  <dcterms:created xsi:type="dcterms:W3CDTF">2021-09-09T14:27:00Z</dcterms:created>
  <dcterms:modified xsi:type="dcterms:W3CDTF">2021-09-10T08:25:00Z</dcterms:modified>
</cp:coreProperties>
</file>