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17E73255" w:rsidR="004A5BED" w:rsidRPr="0099233F" w:rsidRDefault="005119A2" w:rsidP="002E4F27">
            <w:pPr>
              <w:rPr>
                <w:rFonts w:ascii="Times New Roman" w:hAnsi="Times New Roman" w:cs="Times New Roman"/>
                <w:sz w:val="24"/>
                <w:szCs w:val="24"/>
              </w:rPr>
            </w:pPr>
            <w:r w:rsidRPr="005119A2">
              <w:rPr>
                <w:rFonts w:ascii="Times New Roman" w:hAnsi="Times New Roman" w:cs="Times New Roman"/>
                <w:sz w:val="24"/>
                <w:szCs w:val="24"/>
              </w:rPr>
              <w:t>Environmental and Social Performance Services</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78DE690A" w:rsidR="004A5BED" w:rsidRPr="0099233F" w:rsidRDefault="00091776">
            <w:pPr>
              <w:rPr>
                <w:rFonts w:ascii="Times New Roman" w:hAnsi="Times New Roman" w:cs="Times New Roman"/>
                <w:sz w:val="24"/>
                <w:szCs w:val="24"/>
              </w:rPr>
            </w:pPr>
            <w:r w:rsidRPr="00091776">
              <w:rPr>
                <w:rFonts w:ascii="Times New Roman" w:hAnsi="Times New Roman" w:cs="Times New Roman"/>
                <w:sz w:val="24"/>
                <w:szCs w:val="24"/>
              </w:rPr>
              <w:t>IC/ MFK/2021/0</w:t>
            </w:r>
            <w:r w:rsidR="009C25FF">
              <w:rPr>
                <w:rFonts w:ascii="Times New Roman" w:hAnsi="Times New Roman" w:cs="Times New Roman"/>
                <w:sz w:val="24"/>
                <w:szCs w:val="24"/>
              </w:rPr>
              <w:t>26</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3D5C7D29" w:rsidR="00A05C4D" w:rsidRPr="0099233F" w:rsidRDefault="005119A2" w:rsidP="00C113BF">
            <w:pPr>
              <w:rPr>
                <w:rFonts w:ascii="Times New Roman" w:hAnsi="Times New Roman" w:cs="Times New Roman"/>
                <w:sz w:val="24"/>
                <w:szCs w:val="24"/>
              </w:rPr>
            </w:pPr>
            <w:r>
              <w:rPr>
                <w:rFonts w:ascii="Times New Roman" w:hAnsi="Times New Roman" w:cs="Times New Roman"/>
                <w:sz w:val="24"/>
                <w:szCs w:val="24"/>
              </w:rPr>
              <w:t xml:space="preserve">Individual Consultant- </w:t>
            </w:r>
            <w:r w:rsidR="0024413A"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26A62D4C"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r w:rsidR="00FD604B">
              <w:rPr>
                <w:rFonts w:ascii="Times New Roman" w:hAnsi="Times New Roman" w:cs="Times New Roman"/>
                <w:sz w:val="24"/>
                <w:szCs w:val="24"/>
              </w:rPr>
              <w:t xml:space="preserve"> (MFK)</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565AB853" w:rsidR="0024413A" w:rsidRPr="0099233F" w:rsidRDefault="00FD604B" w:rsidP="0024413A">
            <w:pPr>
              <w:rPr>
                <w:rFonts w:ascii="Times New Roman" w:hAnsi="Times New Roman" w:cs="Times New Roman"/>
                <w:sz w:val="24"/>
                <w:szCs w:val="24"/>
              </w:rPr>
            </w:pPr>
            <w:r>
              <w:rPr>
                <w:rFonts w:ascii="Times New Roman" w:hAnsi="Times New Roman" w:cs="Times New Roman"/>
                <w:sz w:val="24"/>
                <w:szCs w:val="24"/>
              </w:rPr>
              <w:t>2</w:t>
            </w:r>
            <w:r w:rsidR="009C25FF">
              <w:rPr>
                <w:rFonts w:ascii="Times New Roman" w:hAnsi="Times New Roman" w:cs="Times New Roman"/>
                <w:sz w:val="24"/>
                <w:szCs w:val="24"/>
              </w:rPr>
              <w:t>6</w:t>
            </w:r>
            <w:r>
              <w:rPr>
                <w:rFonts w:ascii="Times New Roman" w:hAnsi="Times New Roman" w:cs="Times New Roman"/>
                <w:sz w:val="24"/>
                <w:szCs w:val="24"/>
              </w:rPr>
              <w:t xml:space="preserve"> </w:t>
            </w:r>
            <w:r w:rsidR="009C25FF">
              <w:rPr>
                <w:rFonts w:ascii="Times New Roman" w:hAnsi="Times New Roman" w:cs="Times New Roman"/>
                <w:sz w:val="24"/>
                <w:szCs w:val="24"/>
              </w:rPr>
              <w:t xml:space="preserve">October </w:t>
            </w:r>
            <w:r>
              <w:rPr>
                <w:rFonts w:ascii="Times New Roman" w:hAnsi="Times New Roman" w:cs="Times New Roman"/>
                <w:sz w:val="24"/>
                <w:szCs w:val="24"/>
              </w:rPr>
              <w:t>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4244092D" w:rsidR="0024413A" w:rsidRPr="0099233F" w:rsidRDefault="00FD604B" w:rsidP="0024413A">
            <w:pPr>
              <w:rPr>
                <w:rFonts w:ascii="Times New Roman" w:hAnsi="Times New Roman" w:cs="Times New Roman"/>
                <w:sz w:val="24"/>
                <w:szCs w:val="24"/>
              </w:rPr>
            </w:pPr>
            <w:bookmarkStart w:id="0" w:name="_Hlk67577620"/>
            <w:r>
              <w:rPr>
                <w:rFonts w:ascii="Times New Roman" w:hAnsi="Times New Roman" w:cs="Times New Roman"/>
                <w:sz w:val="24"/>
                <w:szCs w:val="24"/>
              </w:rPr>
              <w:t>0</w:t>
            </w:r>
            <w:r w:rsidR="009C25FF">
              <w:rPr>
                <w:rFonts w:ascii="Times New Roman" w:hAnsi="Times New Roman" w:cs="Times New Roman"/>
                <w:sz w:val="24"/>
                <w:szCs w:val="24"/>
              </w:rPr>
              <w:t>4</w:t>
            </w:r>
            <w:r>
              <w:rPr>
                <w:rFonts w:ascii="Times New Roman" w:hAnsi="Times New Roman" w:cs="Times New Roman"/>
                <w:sz w:val="24"/>
                <w:szCs w:val="24"/>
              </w:rPr>
              <w:t xml:space="preserve"> </w:t>
            </w:r>
            <w:r w:rsidR="009C25FF">
              <w:rPr>
                <w:rFonts w:ascii="Times New Roman" w:hAnsi="Times New Roman" w:cs="Times New Roman"/>
                <w:sz w:val="24"/>
                <w:szCs w:val="24"/>
              </w:rPr>
              <w:t>November</w:t>
            </w:r>
            <w:r w:rsidR="00091776" w:rsidRPr="00091776">
              <w:rPr>
                <w:rFonts w:ascii="Times New Roman" w:hAnsi="Times New Roman" w:cs="Times New Roman"/>
                <w:sz w:val="24"/>
                <w:szCs w:val="24"/>
              </w:rPr>
              <w:t xml:space="preserve"> 2021; 1</w:t>
            </w:r>
            <w:r w:rsidR="009C25FF">
              <w:rPr>
                <w:rFonts w:ascii="Times New Roman" w:hAnsi="Times New Roman" w:cs="Times New Roman"/>
                <w:sz w:val="24"/>
                <w:szCs w:val="24"/>
              </w:rPr>
              <w:t>4</w:t>
            </w:r>
            <w:r w:rsidR="00091776" w:rsidRPr="00091776">
              <w:rPr>
                <w:rFonts w:ascii="Times New Roman" w:hAnsi="Times New Roman" w:cs="Times New Roman"/>
                <w:sz w:val="24"/>
                <w:szCs w:val="24"/>
              </w:rPr>
              <w:t>:00</w:t>
            </w:r>
            <w:r>
              <w:rPr>
                <w:rFonts w:ascii="Times New Roman" w:hAnsi="Times New Roman" w:cs="Times New Roman"/>
                <w:sz w:val="24"/>
                <w:szCs w:val="24"/>
              </w:rPr>
              <w:t xml:space="preserve"> </w:t>
            </w:r>
            <w:r w:rsidR="00091776" w:rsidRPr="00091776">
              <w:rPr>
                <w:rFonts w:ascii="Times New Roman" w:hAnsi="Times New Roman" w:cs="Times New Roman"/>
                <w:sz w:val="24"/>
                <w:szCs w:val="24"/>
              </w:rPr>
              <w:t>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11475A26" w14:textId="64E007F8" w:rsidR="009C25FF" w:rsidRPr="009C25FF" w:rsidRDefault="00930E0E" w:rsidP="009C25FF">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00FD604B">
        <w:rPr>
          <w:rFonts w:ascii="Times New Roman" w:hAnsi="Times New Roman"/>
          <w:spacing w:val="-2"/>
          <w:sz w:val="24"/>
          <w:szCs w:val="24"/>
        </w:rPr>
        <w:t xml:space="preserve"> </w:t>
      </w:r>
      <w:r w:rsidR="00FD604B" w:rsidRPr="00A91560">
        <w:rPr>
          <w:rFonts w:ascii="Times New Roman" w:hAnsi="Times New Roman"/>
          <w:spacing w:val="-2"/>
          <w:sz w:val="24"/>
          <w:szCs w:val="24"/>
        </w:rPr>
        <w:t>(MFK), has</w:t>
      </w:r>
      <w:r w:rsidRPr="00E13831">
        <w:rPr>
          <w:rFonts w:ascii="Times New Roman" w:hAnsi="Times New Roman"/>
          <w:spacing w:val="-2"/>
          <w:sz w:val="24"/>
          <w:szCs w:val="24"/>
        </w:rPr>
        <w:t xml:space="preserve">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FD604B" w:rsidRPr="00FD604B">
        <w:rPr>
          <w:rFonts w:ascii="Times New Roman" w:hAnsi="Times New Roman"/>
          <w:spacing w:val="-2"/>
          <w:sz w:val="24"/>
          <w:szCs w:val="24"/>
        </w:rPr>
        <w:t xml:space="preserve">selection of an individual consultant for </w:t>
      </w:r>
      <w:r w:rsidR="00583C50" w:rsidRPr="009C25FF">
        <w:rPr>
          <w:rFonts w:ascii="Times New Roman" w:hAnsi="Times New Roman"/>
          <w:spacing w:val="-2"/>
          <w:sz w:val="24"/>
          <w:szCs w:val="24"/>
        </w:rPr>
        <w:t xml:space="preserve">Environmental </w:t>
      </w:r>
      <w:r w:rsidR="00583C50">
        <w:rPr>
          <w:rFonts w:ascii="Times New Roman" w:hAnsi="Times New Roman"/>
          <w:spacing w:val="-2"/>
          <w:sz w:val="24"/>
          <w:szCs w:val="24"/>
        </w:rPr>
        <w:t>a</w:t>
      </w:r>
      <w:r w:rsidR="00583C50" w:rsidRPr="009C25FF">
        <w:rPr>
          <w:rFonts w:ascii="Times New Roman" w:hAnsi="Times New Roman"/>
          <w:spacing w:val="-2"/>
          <w:sz w:val="24"/>
          <w:szCs w:val="24"/>
        </w:rPr>
        <w:t>nd Social Performance Services.</w:t>
      </w:r>
    </w:p>
    <w:p w14:paraId="5FC7FD87" w14:textId="497EFE2E" w:rsidR="00583C50" w:rsidRDefault="00583C50" w:rsidP="009C25FF">
      <w:pPr>
        <w:suppressAutoHyphens/>
        <w:jc w:val="both"/>
        <w:rPr>
          <w:rFonts w:ascii="Times New Roman" w:hAnsi="Times New Roman"/>
          <w:spacing w:val="-2"/>
          <w:sz w:val="24"/>
          <w:szCs w:val="24"/>
        </w:rPr>
      </w:pPr>
      <w:r w:rsidRPr="00583C50">
        <w:rPr>
          <w:rFonts w:ascii="Times New Roman" w:hAnsi="Times New Roman"/>
          <w:spacing w:val="-2"/>
          <w:sz w:val="24"/>
          <w:szCs w:val="24"/>
        </w:rPr>
        <w:t>MFK is currently seeking a one (1) full-time Environmental and Social Performance (ESP) Individual Consultant to provide services towards effective implementation of the Threshold Program comprising of Reliable Energy Landscape Project and Transparent and Accountable Governance Project and several project related activities such as: Household Investments in Energy Efficiency (PIEE), District Heating Metering (DHM), Woman in Energy (WE), Independent Power Producer (IPP), Air Quality Information Management, and Dig Data Challenge on Air Quality (Dig Data).</w:t>
      </w:r>
    </w:p>
    <w:p w14:paraId="1070EDEB" w14:textId="4C1514B3" w:rsidR="003C308C" w:rsidRPr="00A91560" w:rsidRDefault="009C25FF" w:rsidP="009C25FF">
      <w:pPr>
        <w:suppressAutoHyphens/>
        <w:jc w:val="both"/>
        <w:rPr>
          <w:rFonts w:ascii="Times New Roman" w:hAnsi="Times New Roman"/>
          <w:spacing w:val="-2"/>
          <w:sz w:val="24"/>
          <w:szCs w:val="24"/>
        </w:rPr>
      </w:pPr>
      <w:r w:rsidRPr="009C25FF">
        <w:rPr>
          <w:rFonts w:ascii="Times New Roman" w:hAnsi="Times New Roman"/>
          <w:spacing w:val="-2"/>
          <w:sz w:val="24"/>
          <w:szCs w:val="24"/>
        </w:rPr>
        <w:t xml:space="preserve"> </w:t>
      </w:r>
      <w:r w:rsidR="003C308C"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003C308C"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003C308C"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003C308C" w:rsidRPr="00A91560">
        <w:rPr>
          <w:rFonts w:ascii="Times New Roman" w:hAnsi="Times New Roman"/>
          <w:spacing w:val="-2"/>
          <w:sz w:val="24"/>
          <w:szCs w:val="24"/>
        </w:rPr>
        <w:t xml:space="preserve"> when a contract is signed with an </w:t>
      </w:r>
      <w:r w:rsidR="00FD604B">
        <w:rPr>
          <w:rFonts w:ascii="Times New Roman" w:hAnsi="Times New Roman"/>
          <w:spacing w:val="-2"/>
          <w:sz w:val="24"/>
          <w:szCs w:val="24"/>
        </w:rPr>
        <w:t>MFK</w:t>
      </w:r>
      <w:r w:rsidR="003C308C" w:rsidRPr="00A91560">
        <w:rPr>
          <w:rFonts w:ascii="Times New Roman" w:hAnsi="Times New Roman"/>
          <w:spacing w:val="-2"/>
          <w:sz w:val="24"/>
          <w:szCs w:val="24"/>
        </w:rPr>
        <w:t>, money is already available</w:t>
      </w:r>
      <w:r w:rsidR="00C5332D" w:rsidRPr="00A91560">
        <w:rPr>
          <w:rFonts w:ascii="Times New Roman" w:hAnsi="Times New Roman"/>
          <w:spacing w:val="-2"/>
          <w:sz w:val="24"/>
          <w:szCs w:val="24"/>
        </w:rPr>
        <w:t xml:space="preserve"> to the </w:t>
      </w:r>
      <w:r w:rsidR="00FD604B">
        <w:rPr>
          <w:rFonts w:ascii="Times New Roman" w:hAnsi="Times New Roman"/>
          <w:spacing w:val="-2"/>
          <w:sz w:val="24"/>
          <w:szCs w:val="24"/>
        </w:rPr>
        <w:t>MFK</w:t>
      </w:r>
      <w:r w:rsidR="00C5332D" w:rsidRPr="00A91560">
        <w:rPr>
          <w:rFonts w:ascii="Times New Roman" w:hAnsi="Times New Roman"/>
          <w:spacing w:val="-2"/>
          <w:sz w:val="24"/>
          <w:szCs w:val="24"/>
        </w:rPr>
        <w:t xml:space="preserve"> </w:t>
      </w:r>
      <w:r w:rsidR="003C308C"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003C308C"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003C308C"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003C308C"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CEC5016" w:rsidR="00930E0E" w:rsidRDefault="00930E0E" w:rsidP="00930E0E">
      <w:pPr>
        <w:pStyle w:val="NoSpacing"/>
        <w:jc w:val="both"/>
        <w:rPr>
          <w:rFonts w:ascii="Times New Roman" w:hAnsi="Times New Roman"/>
          <w:spacing w:val="-2"/>
          <w:sz w:val="24"/>
          <w:szCs w:val="24"/>
        </w:rPr>
      </w:pPr>
    </w:p>
    <w:p w14:paraId="10C9475E" w14:textId="57CD3300" w:rsidR="00F20B81" w:rsidRPr="00A91560" w:rsidRDefault="00F20B81" w:rsidP="00930E0E">
      <w:pPr>
        <w:pStyle w:val="NoSpacing"/>
        <w:jc w:val="both"/>
        <w:rPr>
          <w:rFonts w:ascii="Times New Roman" w:hAnsi="Times New Roman"/>
          <w:spacing w:val="-2"/>
          <w:sz w:val="24"/>
          <w:szCs w:val="24"/>
        </w:rPr>
      </w:pPr>
      <w:hyperlink r:id="rId12" w:tgtFrame="_blank" w:history="1">
        <w:r>
          <w:rPr>
            <w:rStyle w:val="Hyperlink"/>
            <w:rFonts w:ascii="Roboto" w:hAnsi="Roboto"/>
            <w:sz w:val="21"/>
            <w:szCs w:val="21"/>
          </w:rPr>
          <w:t>https://millenniumkosovo.org/procurment/selection-of-an-individual-consultant-for-environmental-and-social-performance-services-ic-mfk-2021-026</w:t>
        </w:r>
      </w:hyperlink>
      <w:r>
        <w:t xml:space="preserve"> </w:t>
      </w:r>
    </w:p>
    <w:p w14:paraId="7811EC5C" w14:textId="6BF82A9D" w:rsidR="00C44328" w:rsidRDefault="00C44328" w:rsidP="0004189A">
      <w:pPr>
        <w:pStyle w:val="NoSpacing"/>
        <w:jc w:val="both"/>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51737DD2" w:rsidR="00930E0E" w:rsidRDefault="00930E0E" w:rsidP="003C1BA2">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56AED0B5" w14:textId="77777777" w:rsidR="003C1BA2" w:rsidRPr="00A91560" w:rsidRDefault="003C1BA2" w:rsidP="003C1BA2">
      <w:pPr>
        <w:pStyle w:val="NoSpacing"/>
        <w:jc w:val="both"/>
        <w:rPr>
          <w:rFonts w:ascii="Times New Roman" w:hAnsi="Times New Roman"/>
          <w:spacing w:val="-2"/>
          <w:sz w:val="24"/>
          <w:szCs w:val="24"/>
        </w:rPr>
      </w:pPr>
    </w:p>
    <w:p w14:paraId="394B9E2B" w14:textId="2E3EB5B6" w:rsidR="00930E0E" w:rsidRDefault="00930E0E" w:rsidP="003C1BA2">
      <w:pPr>
        <w:pStyle w:val="BDSHeading"/>
        <w:spacing w:before="0" w:after="0"/>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FD604B">
        <w:rPr>
          <w:rFonts w:eastAsiaTheme="minorHAnsi" w:cstheme="minorBidi"/>
          <w:b/>
          <w:bCs/>
          <w:spacing w:val="-2"/>
        </w:rPr>
        <w:t>0</w:t>
      </w:r>
      <w:r w:rsidR="005119A2">
        <w:rPr>
          <w:rFonts w:eastAsiaTheme="minorHAnsi" w:cstheme="minorBidi"/>
          <w:b/>
          <w:bCs/>
          <w:spacing w:val="-2"/>
        </w:rPr>
        <w:t>4</w:t>
      </w:r>
      <w:r w:rsidR="00FD604B">
        <w:rPr>
          <w:rFonts w:eastAsiaTheme="minorHAnsi" w:cstheme="minorBidi"/>
          <w:b/>
          <w:bCs/>
          <w:spacing w:val="-2"/>
        </w:rPr>
        <w:t xml:space="preserve"> </w:t>
      </w:r>
      <w:r w:rsidR="005119A2">
        <w:rPr>
          <w:rFonts w:eastAsiaTheme="minorHAnsi" w:cstheme="minorBidi"/>
          <w:b/>
          <w:bCs/>
          <w:spacing w:val="-2"/>
        </w:rPr>
        <w:t>November</w:t>
      </w:r>
      <w:r w:rsidR="00091776" w:rsidRPr="00091776">
        <w:rPr>
          <w:rFonts w:eastAsiaTheme="minorHAnsi" w:cstheme="minorBidi"/>
          <w:b/>
          <w:bCs/>
          <w:spacing w:val="-2"/>
        </w:rPr>
        <w:t xml:space="preserve"> 2021; 1</w:t>
      </w:r>
      <w:r w:rsidR="005119A2">
        <w:rPr>
          <w:rFonts w:eastAsiaTheme="minorHAnsi" w:cstheme="minorBidi"/>
          <w:b/>
          <w:bCs/>
          <w:spacing w:val="-2"/>
        </w:rPr>
        <w:t>4</w:t>
      </w:r>
      <w:r w:rsidR="00091776" w:rsidRPr="00091776">
        <w:rPr>
          <w:rFonts w:eastAsiaTheme="minorHAnsi" w:cstheme="minorBidi"/>
          <w:b/>
          <w:bCs/>
          <w:spacing w:val="-2"/>
        </w:rPr>
        <w:t>:00</w:t>
      </w:r>
      <w:r w:rsidR="005119A2">
        <w:rPr>
          <w:rFonts w:eastAsiaTheme="minorHAnsi" w:cstheme="minorBidi"/>
          <w:b/>
          <w:bCs/>
          <w:spacing w:val="-2"/>
        </w:rPr>
        <w:t xml:space="preserve"> </w:t>
      </w:r>
      <w:r w:rsidR="00091776" w:rsidRPr="00091776">
        <w:rPr>
          <w:rFonts w:eastAsiaTheme="minorHAnsi" w:cstheme="minorBidi"/>
          <w:b/>
          <w:bCs/>
          <w:spacing w:val="-2"/>
        </w:rPr>
        <w:t>pm (Kosovo Time)</w:t>
      </w:r>
      <w:r w:rsidRPr="00A91560">
        <w:rPr>
          <w:rFonts w:eastAsiaTheme="minorHAnsi" w:cstheme="minorBidi"/>
          <w:spacing w:val="-2"/>
        </w:rPr>
        <w:t xml:space="preserve">. Only electronic submission will be permitted. Late applications will be rejected. </w:t>
      </w:r>
    </w:p>
    <w:p w14:paraId="36CDD378" w14:textId="77777777" w:rsidR="005119A2" w:rsidRPr="00A91560" w:rsidRDefault="005119A2" w:rsidP="003C1BA2">
      <w:pPr>
        <w:pStyle w:val="BDSHeading"/>
        <w:spacing w:before="0" w:after="0"/>
        <w:rPr>
          <w:rFonts w:eastAsiaTheme="minorHAnsi" w:cstheme="minorBidi"/>
          <w:spacing w:val="-2"/>
        </w:rPr>
      </w:pP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47289C">
        <w:trPr>
          <w:trHeight w:val="561"/>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2F0ECAB8" w14:textId="09A9B808"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4058AB"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FD604B">
      <w:footerReference w:type="default" r:id="rId15"/>
      <w:pgSz w:w="12240" w:h="15840"/>
      <w:pgMar w:top="99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Times New Roman"/>
    <w:charset w:val="00"/>
    <w:family w:val="auto"/>
    <w:pitch w:val="default"/>
  </w:font>
  <w:font w:name="Roboto">
    <w:charset w:val="00"/>
    <w:family w:val="auto"/>
    <w:pitch w:val="variable"/>
    <w:sig w:usb0="E00002FF" w:usb1="5000205B" w:usb2="0000002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wUAwonIWi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1BA2"/>
    <w:rsid w:val="003C308C"/>
    <w:rsid w:val="003C707B"/>
    <w:rsid w:val="00441E69"/>
    <w:rsid w:val="00446095"/>
    <w:rsid w:val="00451097"/>
    <w:rsid w:val="0047289C"/>
    <w:rsid w:val="00493F56"/>
    <w:rsid w:val="004A5BED"/>
    <w:rsid w:val="004B19AB"/>
    <w:rsid w:val="00510D13"/>
    <w:rsid w:val="005119A2"/>
    <w:rsid w:val="00562B0B"/>
    <w:rsid w:val="00571D1B"/>
    <w:rsid w:val="00572353"/>
    <w:rsid w:val="00583C50"/>
    <w:rsid w:val="00591ADD"/>
    <w:rsid w:val="00660B08"/>
    <w:rsid w:val="00672220"/>
    <w:rsid w:val="00674FE5"/>
    <w:rsid w:val="0067716C"/>
    <w:rsid w:val="006D0EAC"/>
    <w:rsid w:val="006F2710"/>
    <w:rsid w:val="006F54BB"/>
    <w:rsid w:val="00742815"/>
    <w:rsid w:val="00751C76"/>
    <w:rsid w:val="00777591"/>
    <w:rsid w:val="007A1B8E"/>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25FF"/>
    <w:rsid w:val="009C463B"/>
    <w:rsid w:val="009C592B"/>
    <w:rsid w:val="009C5F75"/>
    <w:rsid w:val="00A05C4D"/>
    <w:rsid w:val="00A17CAA"/>
    <w:rsid w:val="00A427BE"/>
    <w:rsid w:val="00A700D1"/>
    <w:rsid w:val="00A855E9"/>
    <w:rsid w:val="00A91560"/>
    <w:rsid w:val="00A97404"/>
    <w:rsid w:val="00AF17E4"/>
    <w:rsid w:val="00BD4879"/>
    <w:rsid w:val="00C113BF"/>
    <w:rsid w:val="00C157D6"/>
    <w:rsid w:val="00C17BE7"/>
    <w:rsid w:val="00C242D6"/>
    <w:rsid w:val="00C44328"/>
    <w:rsid w:val="00C5332D"/>
    <w:rsid w:val="00C53F98"/>
    <w:rsid w:val="00C67AAB"/>
    <w:rsid w:val="00D01F26"/>
    <w:rsid w:val="00D35EE4"/>
    <w:rsid w:val="00D41C38"/>
    <w:rsid w:val="00E01176"/>
    <w:rsid w:val="00E13831"/>
    <w:rsid w:val="00E53DBC"/>
    <w:rsid w:val="00E66DA1"/>
    <w:rsid w:val="00EC36F8"/>
    <w:rsid w:val="00F20B81"/>
    <w:rsid w:val="00F2692B"/>
    <w:rsid w:val="00F31EC8"/>
    <w:rsid w:val="00F46C2D"/>
    <w:rsid w:val="00FD604B"/>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 w:type="character" w:styleId="FollowedHyperlink">
    <w:name w:val="FollowedHyperlink"/>
    <w:basedOn w:val="DefaultParagraphFont"/>
    <w:uiPriority w:val="99"/>
    <w:semiHidden/>
    <w:unhideWhenUsed/>
    <w:rsid w:val="00C44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environmental-and-social-performance-services-ic-mfk-2021-0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3</cp:revision>
  <dcterms:created xsi:type="dcterms:W3CDTF">2021-10-26T12:13:00Z</dcterms:created>
  <dcterms:modified xsi:type="dcterms:W3CDTF">2021-10-26T12:15:00Z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